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125D" w14:textId="77777777" w:rsidR="00560F37" w:rsidRDefault="00560F3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35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739"/>
        <w:gridCol w:w="1751"/>
        <w:gridCol w:w="1869"/>
      </w:tblGrid>
      <w:tr w:rsidR="00560F37" w14:paraId="6EC2FA2A" w14:textId="77777777">
        <w:trPr>
          <w:trHeight w:val="932"/>
        </w:trPr>
        <w:tc>
          <w:tcPr>
            <w:tcW w:w="5739" w:type="dxa"/>
            <w:shd w:val="clear" w:color="auto" w:fill="FFFFFF"/>
            <w:vAlign w:val="center"/>
          </w:tcPr>
          <w:p w14:paraId="34996FE0" w14:textId="77777777" w:rsidR="00560F37" w:rsidRDefault="000000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D4624D" wp14:editId="4CCC0AA0">
                  <wp:extent cx="2952750" cy="590550"/>
                  <wp:effectExtent l="0" t="0" r="0" b="0"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590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1" w:type="dxa"/>
            <w:shd w:val="clear" w:color="auto" w:fill="FFFFFF"/>
            <w:vAlign w:val="center"/>
          </w:tcPr>
          <w:p w14:paraId="7D65A20A" w14:textId="77777777" w:rsidR="00560F37" w:rsidRDefault="00560F37"/>
        </w:tc>
        <w:tc>
          <w:tcPr>
            <w:tcW w:w="1869" w:type="dxa"/>
            <w:shd w:val="clear" w:color="auto" w:fill="FFFFFF"/>
            <w:vAlign w:val="center"/>
          </w:tcPr>
          <w:p w14:paraId="3F064647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AC0701F" wp14:editId="539A207D">
                  <wp:extent cx="952500" cy="4572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041E6F" w14:textId="77777777" w:rsidR="00560F37" w:rsidRDefault="00560F3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E1067DC" w14:textId="77777777" w:rsidR="00560F37" w:rsidRDefault="00560F37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Balthazar" w:eastAsia="Balthazar" w:hAnsi="Balthazar" w:cs="Balthazar"/>
          <w:color w:val="FF6600"/>
          <w:sz w:val="16"/>
          <w:szCs w:val="16"/>
        </w:rPr>
      </w:pPr>
    </w:p>
    <w:p w14:paraId="166D2D1B" w14:textId="77777777" w:rsidR="00560F3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Balthazar" w:eastAsia="Balthazar" w:hAnsi="Balthazar" w:cs="Balthazar"/>
          <w:color w:val="FF6600"/>
          <w:sz w:val="32"/>
          <w:szCs w:val="32"/>
        </w:rPr>
        <w:t xml:space="preserve">Minutes for the Senate Executive Committee </w:t>
      </w:r>
    </w:p>
    <w:p w14:paraId="7568118A" w14:textId="77777777" w:rsidR="00560F37" w:rsidRDefault="00560F3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475C5D5" w14:textId="77777777" w:rsidR="00560F37" w:rsidRDefault="00000000">
      <w:pPr>
        <w:rPr>
          <w:color w:val="000000"/>
        </w:rPr>
      </w:pPr>
      <w:r>
        <w:rPr>
          <w:color w:val="000000"/>
        </w:rPr>
        <w:t>Date and Time: December 13, 2023, 3:30 p.m. – 5:00 p.m.</w:t>
      </w:r>
    </w:p>
    <w:p w14:paraId="25334908" w14:textId="77777777" w:rsidR="00560F37" w:rsidRDefault="00000000">
      <w:pPr>
        <w:rPr>
          <w:color w:val="000000"/>
        </w:rPr>
      </w:pPr>
      <w:r>
        <w:rPr>
          <w:color w:val="000000"/>
        </w:rPr>
        <w:t>Location: Zoom Virtual Meeting</w:t>
      </w:r>
    </w:p>
    <w:p w14:paraId="3B858AC7" w14:textId="77777777" w:rsidR="00560F37" w:rsidRDefault="00000000">
      <w:pPr>
        <w:rPr>
          <w:color w:val="000000"/>
        </w:rPr>
      </w:pPr>
      <w:r>
        <w:rPr>
          <w:color w:val="000000"/>
        </w:rPr>
        <w:t>                                    </w:t>
      </w:r>
    </w:p>
    <w:p w14:paraId="0D29CA17" w14:textId="77777777" w:rsidR="00560F37" w:rsidRDefault="00000000">
      <w:pPr>
        <w:rPr>
          <w:color w:val="000000"/>
        </w:rPr>
      </w:pPr>
      <w:r>
        <w:rPr>
          <w:color w:val="000000"/>
        </w:rPr>
        <w:t>Presiding: Ernest Ialongo, Chair of Senate </w:t>
      </w:r>
    </w:p>
    <w:p w14:paraId="173A8703" w14:textId="77777777" w:rsidR="00560F37" w:rsidRDefault="00000000">
      <w:r>
        <w:rPr>
          <w:color w:val="000000"/>
        </w:rPr>
        <w:t xml:space="preserve">Present: Vice-Chair of Senate, Hector Soto; SEC Senators Christine Hutchins; Ansumana Jammeh; Jewel Jones; Diana </w:t>
      </w:r>
      <w:proofErr w:type="spellStart"/>
      <w:r>
        <w:rPr>
          <w:color w:val="000000"/>
        </w:rPr>
        <w:t>Macri</w:t>
      </w:r>
      <w:proofErr w:type="spellEnd"/>
      <w:r>
        <w:rPr>
          <w:color w:val="000000"/>
        </w:rPr>
        <w:t xml:space="preserve">; </w:t>
      </w:r>
      <w:proofErr w:type="spellStart"/>
      <w:r>
        <w:rPr>
          <w:color w:val="000000"/>
        </w:rPr>
        <w:t>Dainma</w:t>
      </w:r>
      <w:proofErr w:type="spellEnd"/>
      <w:r>
        <w:rPr>
          <w:color w:val="000000"/>
        </w:rPr>
        <w:t xml:space="preserve"> Martinez; </w:t>
      </w:r>
      <w:r>
        <w:t>Alexandra Milsom; Tram Nguyen</w:t>
      </w:r>
      <w:r>
        <w:rPr>
          <w:color w:val="000000"/>
          <w:highlight w:val="white"/>
        </w:rPr>
        <w:t>.</w:t>
      </w:r>
    </w:p>
    <w:p w14:paraId="3B5A2979" w14:textId="77777777" w:rsidR="00560F37" w:rsidRDefault="00560F37"/>
    <w:p w14:paraId="0CF5E751" w14:textId="77777777" w:rsidR="00560F37" w:rsidRDefault="00000000">
      <w:pPr>
        <w:rPr>
          <w:color w:val="000000"/>
        </w:rPr>
      </w:pPr>
      <w:r>
        <w:rPr>
          <w:color w:val="000000"/>
        </w:rPr>
        <w:t>Excused Absence: 0</w:t>
      </w:r>
    </w:p>
    <w:p w14:paraId="50B7D887" w14:textId="77777777" w:rsidR="00560F37" w:rsidRDefault="00000000">
      <w:pPr>
        <w:rPr>
          <w:color w:val="000000"/>
        </w:rPr>
      </w:pPr>
      <w:r>
        <w:rPr>
          <w:color w:val="000000"/>
        </w:rPr>
        <w:t xml:space="preserve">Unexcused Absence: 0 </w:t>
      </w:r>
    </w:p>
    <w:p w14:paraId="37FAA589" w14:textId="77777777" w:rsidR="00560F37" w:rsidRDefault="00000000">
      <w:pPr>
        <w:rPr>
          <w:color w:val="000000"/>
        </w:rPr>
      </w:pPr>
      <w:r>
        <w:rPr>
          <w:color w:val="000000"/>
        </w:rPr>
        <w:t> </w:t>
      </w:r>
    </w:p>
    <w:p w14:paraId="25AD413A" w14:textId="77777777" w:rsidR="00560F37" w:rsidRDefault="00000000">
      <w:pPr>
        <w:rPr>
          <w:color w:val="000000"/>
        </w:rPr>
      </w:pPr>
      <w:r>
        <w:rPr>
          <w:color w:val="000000"/>
        </w:rPr>
        <w:t xml:space="preserve">Minutes Prepared by: </w:t>
      </w:r>
      <w:r>
        <w:rPr>
          <w:color w:val="000000"/>
          <w:highlight w:val="white"/>
        </w:rPr>
        <w:t>C</w:t>
      </w:r>
      <w:r>
        <w:rPr>
          <w:highlight w:val="white"/>
        </w:rPr>
        <w:t>hristine Hutchins</w:t>
      </w:r>
    </w:p>
    <w:p w14:paraId="02AC1A5A" w14:textId="77777777" w:rsidR="00560F37" w:rsidRDefault="00560F37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tbl>
      <w:tblPr>
        <w:tblStyle w:val="a0"/>
        <w:tblW w:w="9370" w:type="dxa"/>
        <w:tblInd w:w="104" w:type="dxa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30"/>
      </w:tblGrid>
      <w:tr w:rsidR="00560F37" w14:paraId="3049D56E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7B9EBA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85099B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6D74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6CF845AE" w14:textId="77777777">
        <w:trPr>
          <w:trHeight w:val="3036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8DB215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F5904B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Call to Order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AD5DB8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F138D5" w14:textId="77777777" w:rsidR="00560F37" w:rsidRDefault="00000000">
            <w:r>
              <w:t>Chair Professor Ialongo called the meeting to order at 3:34 pm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E06D0" w14:textId="77777777" w:rsidR="00560F37" w:rsidRDefault="00560F37"/>
        </w:tc>
      </w:tr>
      <w:tr w:rsidR="00560F37" w14:paraId="7EE4B6EA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96289D" w14:textId="77777777" w:rsidR="00560F37" w:rsidRDefault="00000000">
            <w:pPr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A0C104" w14:textId="77777777" w:rsidR="00560F37" w:rsidRDefault="00000000">
            <w:pP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6FDA" w14:textId="77777777" w:rsidR="00560F37" w:rsidRDefault="00000000">
            <w:pPr>
              <w:rPr>
                <w:b/>
              </w:rPr>
            </w:pPr>
            <w:r>
              <w:rPr>
                <w:b/>
              </w:rPr>
              <w:t>DECISION / ACTION</w:t>
            </w:r>
          </w:p>
        </w:tc>
      </w:tr>
      <w:tr w:rsidR="00560F37" w14:paraId="07EB85E6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A1C1B" w14:textId="77777777" w:rsidR="00560F37" w:rsidRDefault="00560F37">
            <w:pPr>
              <w:rPr>
                <w:b/>
              </w:rPr>
            </w:pPr>
          </w:p>
          <w:p w14:paraId="6124FD44" w14:textId="77777777" w:rsidR="00560F37" w:rsidRDefault="00000000">
            <w:r>
              <w:t>Acceptance of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150227" w14:textId="77777777" w:rsidR="00560F37" w:rsidRDefault="00560F37">
            <w:pPr>
              <w:rPr>
                <w:b/>
              </w:rPr>
            </w:pPr>
          </w:p>
          <w:p w14:paraId="380073F3" w14:textId="77777777" w:rsidR="00560F37" w:rsidRDefault="00000000">
            <w:r>
              <w:t>Motion to accept SEC Agenda</w:t>
            </w:r>
          </w:p>
          <w:p w14:paraId="046D0CB2" w14:textId="77777777" w:rsidR="00560F37" w:rsidRDefault="00560F37"/>
          <w:p w14:paraId="668CACDA" w14:textId="77777777" w:rsidR="00560F37" w:rsidRDefault="00560F37"/>
          <w:p w14:paraId="3DD01D22" w14:textId="77777777" w:rsidR="00560F37" w:rsidRDefault="00560F37"/>
          <w:p w14:paraId="73FA7771" w14:textId="77777777" w:rsidR="00560F37" w:rsidRDefault="00560F37"/>
          <w:p w14:paraId="6AC51EF0" w14:textId="77777777" w:rsidR="00560F37" w:rsidRDefault="00560F37"/>
          <w:p w14:paraId="2740C4D1" w14:textId="77777777" w:rsidR="00560F37" w:rsidRDefault="00560F37"/>
          <w:p w14:paraId="7ACB417E" w14:textId="77777777" w:rsidR="00560F37" w:rsidRDefault="00560F37"/>
          <w:p w14:paraId="629C681F" w14:textId="77777777" w:rsidR="00560F37" w:rsidRDefault="00560F37"/>
          <w:p w14:paraId="255355F0" w14:textId="77777777" w:rsidR="00560F37" w:rsidRDefault="00560F37"/>
          <w:p w14:paraId="0914A884" w14:textId="77777777" w:rsidR="00560F37" w:rsidRDefault="00560F37"/>
          <w:p w14:paraId="789178A3" w14:textId="77777777" w:rsidR="00560F37" w:rsidRDefault="00560F37"/>
          <w:p w14:paraId="7FCDF741" w14:textId="77777777" w:rsidR="00560F37" w:rsidRDefault="00560F37"/>
          <w:p w14:paraId="1B9363FD" w14:textId="77777777" w:rsidR="00560F37" w:rsidRDefault="00560F37"/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F9FA1" w14:textId="77777777" w:rsidR="00560F37" w:rsidRDefault="00560F37">
            <w:pPr>
              <w:rPr>
                <w:b/>
              </w:rPr>
            </w:pPr>
          </w:p>
          <w:p w14:paraId="554B983D" w14:textId="77777777" w:rsidR="00560F37" w:rsidRDefault="00000000">
            <w:pPr>
              <w:rPr>
                <w:b/>
              </w:rPr>
            </w:pPr>
            <w:r>
              <w:t>Accepted with minor corrections</w:t>
            </w:r>
          </w:p>
          <w:p w14:paraId="501C3134" w14:textId="77777777" w:rsidR="00560F37" w:rsidRDefault="00560F37">
            <w:pPr>
              <w:rPr>
                <w:b/>
              </w:rPr>
            </w:pPr>
          </w:p>
          <w:p w14:paraId="64988369" w14:textId="77777777" w:rsidR="00560F37" w:rsidRDefault="00560F37">
            <w:pPr>
              <w:rPr>
                <w:b/>
              </w:rPr>
            </w:pPr>
          </w:p>
          <w:p w14:paraId="49F64616" w14:textId="77777777" w:rsidR="00560F37" w:rsidRDefault="00560F37">
            <w:pPr>
              <w:rPr>
                <w:b/>
              </w:rPr>
            </w:pPr>
          </w:p>
        </w:tc>
      </w:tr>
      <w:tr w:rsidR="00560F37" w14:paraId="6C6917D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C7C1A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B1F073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62411E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7496B235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40A7E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9D33B98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Approval of Minutes </w:t>
            </w:r>
          </w:p>
          <w:p w14:paraId="37A21C6C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1292BC8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SEC Minutes </w:t>
            </w:r>
          </w:p>
          <w:p w14:paraId="03817B9D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November</w:t>
            </w:r>
            <w:r>
              <w:rPr>
                <w:color w:val="000000"/>
              </w:rPr>
              <w:t xml:space="preserve"> 8, 2023, meeting</w:t>
            </w:r>
          </w:p>
          <w:p w14:paraId="196FF55A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72443D3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Senate Minutes</w:t>
            </w:r>
          </w:p>
          <w:p w14:paraId="454AF674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November 16</w:t>
            </w:r>
            <w:r>
              <w:rPr>
                <w:color w:val="000000"/>
              </w:rPr>
              <w:t>, 2023, meeting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DDA345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D73D2" w14:textId="77777777" w:rsidR="00560F37" w:rsidRDefault="00560F37"/>
          <w:p w14:paraId="30E10C64" w14:textId="77777777" w:rsidR="00560F37" w:rsidRDefault="00560F37"/>
          <w:p w14:paraId="44A52EA5" w14:textId="77777777" w:rsidR="00560F37" w:rsidRDefault="00560F37"/>
          <w:p w14:paraId="0FFB5360" w14:textId="77777777" w:rsidR="00560F37" w:rsidRDefault="00000000">
            <w:r>
              <w:t>Accepted as pre-circulated</w:t>
            </w:r>
          </w:p>
          <w:p w14:paraId="37BA3EC6" w14:textId="77777777" w:rsidR="00560F37" w:rsidRDefault="00560F37"/>
          <w:p w14:paraId="7F0714E8" w14:textId="77777777" w:rsidR="00560F37" w:rsidRDefault="00560F37"/>
          <w:p w14:paraId="4DBA0676" w14:textId="77777777" w:rsidR="00560F37" w:rsidRDefault="00000000">
            <w:r>
              <w:t>Accepted with minor corrections</w:t>
            </w:r>
          </w:p>
        </w:tc>
      </w:tr>
      <w:tr w:rsidR="00560F37" w14:paraId="0E4FD155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3F972F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7D08D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68F9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2A6F4E17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1E5830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229E6A7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Chair’s Report</w:t>
            </w:r>
          </w:p>
          <w:p w14:paraId="2C827DDE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5238863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341687" w14:textId="77777777" w:rsidR="00560F37" w:rsidRDefault="00560F37"/>
          <w:p w14:paraId="6C512DB4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Chair Professor Ialongo shared updates:</w:t>
            </w:r>
          </w:p>
          <w:p w14:paraId="01534B7B" w14:textId="77777777" w:rsidR="00560F37" w:rsidRDefault="00000000">
            <w:pPr>
              <w:spacing w:after="160" w:line="259" w:lineRule="auto"/>
            </w:pPr>
            <w:r>
              <w:t>– Hostos will be over the Spring semester transitioning its LMS Blackboard to Brightspace</w:t>
            </w:r>
          </w:p>
          <w:p w14:paraId="73834F2C" w14:textId="77777777" w:rsidR="00560F37" w:rsidRDefault="00000000">
            <w:pPr>
              <w:shd w:val="clear" w:color="auto" w:fill="FFFFFF"/>
              <w:spacing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>Access Brightspace Resources using this link:</w:t>
            </w:r>
          </w:p>
          <w:p w14:paraId="0F81529C" w14:textId="77777777" w:rsidR="00560F37" w:rsidRDefault="00000000">
            <w:pPr>
              <w:shd w:val="clear" w:color="auto" w:fill="FFFFFF"/>
              <w:spacing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  <w:hyperlink r:id="rId8">
              <w:r>
                <w:rPr>
                  <w:rFonts w:ascii="Garamond" w:eastAsia="Garamond" w:hAnsi="Garamond" w:cs="Garamond"/>
                  <w:sz w:val="20"/>
                  <w:szCs w:val="20"/>
                  <w:u w:val="single"/>
                </w:rPr>
                <w:t>https://brightspace.cuny.edu/</w:t>
              </w:r>
            </w:hyperlink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. </w:t>
            </w:r>
          </w:p>
          <w:p w14:paraId="6F4AE0D8" w14:textId="77777777" w:rsidR="00560F37" w:rsidRDefault="00560F37">
            <w:pPr>
              <w:shd w:val="clear" w:color="auto" w:fill="FFFFFF"/>
              <w:spacing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26A0A4D3" w14:textId="77777777" w:rsidR="00560F37" w:rsidRDefault="00000000">
            <w:pPr>
              <w:shd w:val="clear" w:color="auto" w:fill="FFFFFF"/>
              <w:spacing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A dedicated </w:t>
            </w:r>
            <w:hyperlink r:id="rId9">
              <w:r>
                <w:rPr>
                  <w:rFonts w:ascii="Garamond" w:eastAsia="Garamond" w:hAnsi="Garamond" w:cs="Garamond"/>
                  <w:sz w:val="20"/>
                  <w:szCs w:val="20"/>
                  <w:u w:val="single"/>
                </w:rPr>
                <w:t>Brightspace</w:t>
              </w:r>
            </w:hyperlink>
            <w:hyperlink r:id="rId10">
              <w:r>
                <w:rPr>
                  <w:rFonts w:ascii="Garamond" w:eastAsia="Garamond" w:hAnsi="Garamond" w:cs="Garamond"/>
                  <w:sz w:val="20"/>
                  <w:szCs w:val="20"/>
                  <w:u w:val="single"/>
                </w:rPr>
                <w:t xml:space="preserve"> Hub (link)</w:t>
              </w:r>
            </w:hyperlink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 is in development and will contain training opportunities, tips, and other resources to help faculty and students become comfortable with and utilize our new LMS to its fullest.</w:t>
            </w:r>
          </w:p>
          <w:p w14:paraId="7BDFEAC5" w14:textId="77777777" w:rsidR="00560F37" w:rsidRDefault="00560F37">
            <w:pPr>
              <w:shd w:val="clear" w:color="auto" w:fill="FFFFFF"/>
              <w:spacing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</w:p>
          <w:p w14:paraId="583E89A4" w14:textId="77777777" w:rsidR="00560F37" w:rsidRDefault="00000000">
            <w:pPr>
              <w:spacing w:after="160" w:line="259" w:lineRule="auto"/>
            </w:pPr>
            <w:r>
              <w:t xml:space="preserve">– CUNY is developing plans for a Transfer Initiative, </w:t>
            </w:r>
            <w:hyperlink r:id="rId11">
              <w:r>
                <w:rPr>
                  <w:u w:val="single"/>
                </w:rPr>
                <w:t>https://www1.cuny.edu/sites/cunyufs/2022/12/08/transfer-initiatives/</w:t>
              </w:r>
            </w:hyperlink>
          </w:p>
          <w:p w14:paraId="72333F01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>– Hostos faculty and staff have created A.I. use statements that can be tailored so as to fit needs of specific courses and disciplines</w:t>
            </w:r>
          </w:p>
          <w:p w14:paraId="3304EED1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University Faculty Senate passed an 2022 update to </w:t>
            </w:r>
            <w:r>
              <w:rPr>
                <w:rFonts w:ascii="Garamond" w:eastAsia="Garamond" w:hAnsi="Garamond" w:cs="Garamond"/>
                <w:sz w:val="20"/>
                <w:szCs w:val="20"/>
              </w:rPr>
              <w:lastRenderedPageBreak/>
              <w:t xml:space="preserve">its Policy on Academic Integrity, </w:t>
            </w:r>
            <w:hyperlink r:id="rId12">
              <w:r>
                <w:rPr>
                  <w:rFonts w:ascii="Garamond" w:eastAsia="Garamond" w:hAnsi="Garamond" w:cs="Garamond"/>
                  <w:sz w:val="20"/>
                  <w:szCs w:val="20"/>
                  <w:u w:val="single"/>
                </w:rPr>
                <w:t>https://www1.cuny.edu/sites/cunyufs/2023/06/08/ufs-passes-academic-integrity-update-for-artificial-intelligence/</w:t>
              </w:r>
            </w:hyperlink>
          </w:p>
          <w:p w14:paraId="5F4A9F84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Garamond" w:eastAsia="Garamond" w:hAnsi="Garamond" w:cs="Garamond"/>
                <w:sz w:val="20"/>
                <w:szCs w:val="20"/>
              </w:rPr>
            </w:pPr>
            <w:r>
              <w:rPr>
                <w:rFonts w:ascii="Garamond" w:eastAsia="Garamond" w:hAnsi="Garamond" w:cs="Garamond"/>
                <w:sz w:val="20"/>
                <w:szCs w:val="20"/>
              </w:rPr>
              <w:t xml:space="preserve">The 2022 update to the policy is available at, </w:t>
            </w:r>
            <w:hyperlink r:id="rId13">
              <w:r>
                <w:rPr>
                  <w:rFonts w:ascii="Garamond" w:eastAsia="Garamond" w:hAnsi="Garamond" w:cs="Garamond"/>
                  <w:sz w:val="20"/>
                  <w:szCs w:val="20"/>
                  <w:u w:val="single"/>
                </w:rPr>
                <w:t>https://www.cuny.edu/about/administration/offices/legal-affairs/policies-resources/academic-integrity-policy/</w:t>
              </w:r>
            </w:hyperlink>
          </w:p>
          <w:p w14:paraId="4CD671C1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r>
              <w:t xml:space="preserve">– There is need for wider dissemination of CUNY Cares information among faculty, staff, and students, </w:t>
            </w:r>
            <w:hyperlink r:id="rId14">
              <w:r>
                <w:rPr>
                  <w:u w:val="single"/>
                </w:rPr>
                <w:t>https://www.cuny.edu/about/administration/offices/transformation/cuny-cares/</w:t>
              </w:r>
            </w:hyperlink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DB0B" w14:textId="77777777" w:rsidR="00560F37" w:rsidRDefault="00560F37"/>
          <w:p w14:paraId="229E1E59" w14:textId="77777777" w:rsidR="00560F37" w:rsidRDefault="00560F37"/>
          <w:p w14:paraId="26FEFEA5" w14:textId="77777777" w:rsidR="00560F37" w:rsidRDefault="00560F37"/>
          <w:p w14:paraId="1F7BD044" w14:textId="77777777" w:rsidR="00560F37" w:rsidRDefault="00560F37"/>
          <w:p w14:paraId="6BF18FC0" w14:textId="77777777" w:rsidR="00560F37" w:rsidRDefault="00560F37"/>
          <w:p w14:paraId="2D24AACB" w14:textId="77777777" w:rsidR="00560F37" w:rsidRDefault="00560F37"/>
          <w:p w14:paraId="72B8F2C1" w14:textId="77777777" w:rsidR="00560F37" w:rsidRDefault="00560F37"/>
          <w:p w14:paraId="3C45BB1E" w14:textId="77777777" w:rsidR="00560F37" w:rsidRDefault="00560F37"/>
          <w:p w14:paraId="5A28420B" w14:textId="77777777" w:rsidR="00560F37" w:rsidRDefault="00560F37"/>
          <w:p w14:paraId="557A7929" w14:textId="77777777" w:rsidR="00560F37" w:rsidRDefault="00560F37"/>
          <w:p w14:paraId="5686F994" w14:textId="77777777" w:rsidR="00560F37" w:rsidRDefault="00560F37"/>
          <w:p w14:paraId="13217AE2" w14:textId="77777777" w:rsidR="00560F37" w:rsidRDefault="00560F37"/>
          <w:p w14:paraId="0673FAF5" w14:textId="77777777" w:rsidR="00560F37" w:rsidRDefault="00560F37"/>
        </w:tc>
      </w:tr>
      <w:tr w:rsidR="00560F37" w14:paraId="70FFDFD4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38DF8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3A0CC2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821A7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09A420CC" w14:textId="77777777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3AB1E4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1DC744A2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Curricular Items</w:t>
            </w:r>
          </w:p>
          <w:p w14:paraId="00A0B54D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057F229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F1E8A9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3377719A" w14:textId="77777777" w:rsidR="00560F37" w:rsidRDefault="00000000">
            <w:pPr>
              <w:spacing w:after="160" w:line="259" w:lineRule="auto"/>
            </w:pPr>
            <w:r>
              <w:t>LIN 105 Language and Power – Pathways Submission; Professor Gail August (Linguistics) presenting</w:t>
            </w:r>
          </w:p>
          <w:p w14:paraId="084DE6C8" w14:textId="77777777" w:rsidR="00560F37" w:rsidRDefault="00000000">
            <w:pPr>
              <w:spacing w:after="160" w:line="259" w:lineRule="auto"/>
            </w:pPr>
            <w:r>
              <w:t>BIO 299 Independent Studies in Biology and CHE 299 Independent Studies in Chemistry – Course Changes; Professor Anna Ivanova (Liberal Arts A.S. Degree Program) presenting</w:t>
            </w:r>
          </w:p>
          <w:p w14:paraId="2F9B4539" w14:textId="77777777" w:rsidR="00560F37" w:rsidRDefault="00000000">
            <w:pPr>
              <w:spacing w:after="160" w:line="259" w:lineRule="auto"/>
            </w:pPr>
            <w:r>
              <w:t>Liberal Arts A.S. Degree – Program Change; Professor Anna Ivanova (Liberal Arts A.S. Degree Program) presenting</w:t>
            </w:r>
          </w:p>
          <w:p w14:paraId="72BB68E1" w14:textId="77777777" w:rsidR="00560F37" w:rsidRDefault="00000000">
            <w:pPr>
              <w:spacing w:after="160" w:line="259" w:lineRule="auto"/>
            </w:pPr>
            <w:r>
              <w:t xml:space="preserve">Informational Items: </w:t>
            </w:r>
          </w:p>
          <w:p w14:paraId="1AB38364" w14:textId="77777777" w:rsidR="00560F37" w:rsidRDefault="00000000">
            <w:pPr>
              <w:spacing w:after="160" w:line="259" w:lineRule="auto"/>
            </w:pPr>
            <w:r>
              <w:t xml:space="preserve">Articulation with School of Professional Studies (SPS) </w:t>
            </w:r>
            <w:r>
              <w:lastRenderedPageBreak/>
              <w:t>for A.A. degree in Liberal Arts, Psychology option</w:t>
            </w:r>
          </w:p>
          <w:p w14:paraId="73C44C59" w14:textId="77777777" w:rsidR="00560F37" w:rsidRDefault="00000000">
            <w:pPr>
              <w:spacing w:after="160" w:line="259" w:lineRule="auto"/>
            </w:pPr>
            <w:r>
              <w:t>Articulation with School of Professional Studies (SPS) for A.A. degree in Liberal Arts, Psychology - Research option</w:t>
            </w:r>
          </w:p>
          <w:p w14:paraId="4CB1D4F0" w14:textId="77777777" w:rsidR="00560F37" w:rsidRDefault="00000000">
            <w:pPr>
              <w:spacing w:after="160" w:line="259" w:lineRule="auto"/>
            </w:pPr>
            <w:r>
              <w:t>Professor Ernest Ialongo (Behavioral and Social Sciences) presenting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2D686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82CBCA0" w14:textId="77777777" w:rsidR="00560F37" w:rsidRDefault="00000000">
            <w:pPr>
              <w:rPr>
                <w:b/>
                <w:color w:val="000000"/>
              </w:rPr>
            </w:pPr>
            <w:r>
              <w:t>Unanimous approval</w:t>
            </w:r>
          </w:p>
          <w:p w14:paraId="174D4030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560F37" w14:paraId="1FE25272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8ADDCA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6B8A9E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18904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71446D94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81B0B6" w14:textId="77777777" w:rsidR="00560F37" w:rsidRDefault="00560F37"/>
          <w:p w14:paraId="32651308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  <w:rPr>
                <w:color w:val="000000"/>
              </w:rPr>
            </w:pPr>
            <w:r>
              <w:rPr>
                <w:color w:val="000000"/>
              </w:rPr>
              <w:t xml:space="preserve">Approval of </w:t>
            </w:r>
            <w:r>
              <w:t>November 16</w:t>
            </w:r>
            <w:r>
              <w:rPr>
                <w:color w:val="000000"/>
              </w:rPr>
              <w:t>, 2023, Senate agenda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97D65F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</w:pPr>
          </w:p>
          <w:p w14:paraId="5E07EAC1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6" w:lineRule="auto"/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5CBB2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F2466D8" w14:textId="77777777" w:rsidR="00560F37" w:rsidRDefault="00000000">
            <w:r>
              <w:t>Unanimous approval</w:t>
            </w:r>
          </w:p>
          <w:p w14:paraId="628A5DFC" w14:textId="77777777" w:rsidR="00560F37" w:rsidRDefault="00560F37">
            <w:pPr>
              <w:rPr>
                <w:b/>
              </w:rPr>
            </w:pPr>
          </w:p>
        </w:tc>
      </w:tr>
      <w:tr w:rsidR="00560F37" w14:paraId="608E7DF2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2CA938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4BD1B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DISCUSSION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B7A700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DECISION / ACTION</w:t>
            </w:r>
          </w:p>
        </w:tc>
      </w:tr>
      <w:tr w:rsidR="00560F37" w14:paraId="01ED82E8" w14:textId="77777777">
        <w:trPr>
          <w:trHeight w:val="27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289AD" w14:textId="77777777" w:rsidR="00560F37" w:rsidRDefault="00560F37"/>
          <w:p w14:paraId="0BE886BF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>New Business &amp; Announcements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5F924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8B3DD48" w14:textId="55D69965" w:rsidR="00560F37" w:rsidRDefault="00000000">
            <w:pPr>
              <w:spacing w:after="160" w:line="259" w:lineRule="auto"/>
            </w:pPr>
            <w:r>
              <w:t xml:space="preserve">In the Spring semester, Hostos Senate will consider whether to move the meeting dates for the May and </w:t>
            </w:r>
            <w:r w:rsidR="005F5D60">
              <w:t>December</w:t>
            </w:r>
            <w:r>
              <w:t xml:space="preserve"> Senate meetings from the third to the second Thursday of those months, so as to accommodate final exam schedules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CC8BB" w14:textId="77777777" w:rsidR="00560F37" w:rsidRDefault="00560F37">
            <w:pPr>
              <w:rPr>
                <w:b/>
              </w:rPr>
            </w:pPr>
          </w:p>
        </w:tc>
      </w:tr>
      <w:tr w:rsidR="00560F37" w14:paraId="4C39C8EE" w14:textId="77777777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3B103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16A7271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Adjournment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B54C4A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053C9AAA" w14:textId="77777777" w:rsidR="00560F3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4:53 pm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60ED4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  <w:p w14:paraId="60738ECA" w14:textId="77777777" w:rsidR="00560F37" w:rsidRDefault="0056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</w:tbl>
    <w:p w14:paraId="5FDE26D4" w14:textId="77777777" w:rsidR="00560F37" w:rsidRDefault="00560F37">
      <w:pPr>
        <w:tabs>
          <w:tab w:val="left" w:pos="1534"/>
        </w:tabs>
        <w:spacing w:before="87"/>
      </w:pPr>
    </w:p>
    <w:p w14:paraId="68848115" w14:textId="77777777" w:rsidR="00560F37" w:rsidRDefault="00560F37"/>
    <w:p w14:paraId="3E58FC50" w14:textId="77777777" w:rsidR="00560F37" w:rsidRDefault="00000000">
      <w:pPr>
        <w:tabs>
          <w:tab w:val="left" w:pos="1786"/>
        </w:tabs>
        <w:spacing w:before="87"/>
        <w:rPr>
          <w:color w:val="000000"/>
        </w:rPr>
      </w:pPr>
      <w:r>
        <w:tab/>
      </w:r>
    </w:p>
    <w:sectPr w:rsidR="00560F37">
      <w:headerReference w:type="default" r:id="rId15"/>
      <w:footerReference w:type="default" r:id="rId16"/>
      <w:pgSz w:w="12240" w:h="15840"/>
      <w:pgMar w:top="1040" w:right="1320" w:bottom="2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6AC2" w14:textId="77777777" w:rsidR="00151ED6" w:rsidRDefault="00151ED6">
      <w:r>
        <w:separator/>
      </w:r>
    </w:p>
  </w:endnote>
  <w:endnote w:type="continuationSeparator" w:id="0">
    <w:p w14:paraId="0DE4F17F" w14:textId="77777777" w:rsidR="00151ED6" w:rsidRDefault="0015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panose1 w:val="020B0604020202020204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6756" w14:textId="77777777" w:rsidR="0056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8403"/>
        <w:tab w:val="right" w:pos="9340"/>
      </w:tabs>
      <w:rPr>
        <w:color w:val="000000"/>
      </w:rPr>
    </w:pPr>
    <w:r>
      <w:rPr>
        <w:color w:val="000000"/>
      </w:rPr>
      <w:tab/>
      <w:t xml:space="preserve">                                                                                                             Minutes of </w:t>
    </w:r>
    <w:r>
      <w:t>12</w:t>
    </w:r>
    <w:r>
      <w:rPr>
        <w:color w:val="000000"/>
      </w:rPr>
      <w:t>/1</w:t>
    </w:r>
    <w:r>
      <w:t>3</w:t>
    </w:r>
    <w:r>
      <w:rPr>
        <w:color w:val="000000"/>
      </w:rPr>
      <w:t xml:space="preserve">/2023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B46F" w14:textId="77777777" w:rsidR="00151ED6" w:rsidRDefault="00151ED6">
      <w:r>
        <w:separator/>
      </w:r>
    </w:p>
  </w:footnote>
  <w:footnote w:type="continuationSeparator" w:id="0">
    <w:p w14:paraId="39455266" w14:textId="77777777" w:rsidR="00151ED6" w:rsidRDefault="00151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EB41" w14:textId="77777777" w:rsidR="00560F3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F5D60">
      <w:rPr>
        <w:noProof/>
        <w:color w:val="000000"/>
      </w:rPr>
      <w:t>1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F37"/>
    <w:rsid w:val="00151ED6"/>
    <w:rsid w:val="00560F37"/>
    <w:rsid w:val="005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5379D2"/>
  <w15:docId w15:val="{8F15B66B-9010-8A47-B7F3-C1D7C4A36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spacing w:line="237" w:lineRule="auto"/>
      <w:ind w:left="3154" w:right="3270"/>
      <w:jc w:val="center"/>
    </w:pPr>
    <w:rPr>
      <w:rFonts w:ascii="Calibri" w:eastAsia="Calibri" w:hAnsi="Calibri" w:cs="Calibri"/>
      <w:b/>
      <w:sz w:val="28"/>
      <w:szCs w:val="2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ghtspace.cuny.edu/" TargetMode="External"/><Relationship Id="rId13" Type="http://schemas.openxmlformats.org/officeDocument/2006/relationships/hyperlink" Target="https://www.cuny.edu/about/administration/offices/legal-affairs/policies-resources/academic-integrity-policy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yperlink" Target="https://www1.cuny.edu/sites/cunyufs/2023/06/08/ufs-passes-academic-integrity-update-for-artificial-intelligence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s://www1.cuny.edu/sites/cunyufs/2022/12/08/transfer-initiatives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commons.hostos.cuny.edu/edtech/lm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ommons.hostos.cuny.edu/edtech/lms/" TargetMode="External"/><Relationship Id="rId14" Type="http://schemas.openxmlformats.org/officeDocument/2006/relationships/hyperlink" Target="https://www.cuny.edu/about/administration/offices/transformation/cuny-ca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 Ialongo</cp:lastModifiedBy>
  <cp:revision>2</cp:revision>
  <dcterms:created xsi:type="dcterms:W3CDTF">2024-02-07T02:45:00Z</dcterms:created>
  <dcterms:modified xsi:type="dcterms:W3CDTF">2024-02-07T02:52:00Z</dcterms:modified>
</cp:coreProperties>
</file>