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7" w:type="dxa"/>
        <w:jc w:val="center"/>
        <w:tblCellSpacing w:w="15" w:type="dxa"/>
        <w:tblLook w:val="04A0" w:firstRow="1" w:lastRow="0" w:firstColumn="1" w:lastColumn="0" w:noHBand="0" w:noVBand="1"/>
      </w:tblPr>
      <w:tblGrid>
        <w:gridCol w:w="6662"/>
        <w:gridCol w:w="2195"/>
      </w:tblGrid>
      <w:tr w:rsidR="00921183" w14:paraId="08B9983F" w14:textId="77777777">
        <w:trPr>
          <w:tblCellSpacing w:w="15" w:type="dxa"/>
          <w:jc w:val="center"/>
        </w:trPr>
        <w:tc>
          <w:tcPr>
            <w:tcW w:w="3735" w:type="pct"/>
            <w:shd w:val="clear" w:color="auto" w:fill="auto"/>
            <w:tcMar>
              <w:top w:w="15" w:type="dxa"/>
              <w:left w:w="15" w:type="dxa"/>
              <w:bottom w:w="15" w:type="dxa"/>
              <w:right w:w="15" w:type="dxa"/>
            </w:tcMar>
            <w:vAlign w:val="center"/>
          </w:tcPr>
          <w:p w14:paraId="7D7CFC26" w14:textId="77777777" w:rsidR="00921183" w:rsidRDefault="00B536F9">
            <w:pPr>
              <w:spacing w:before="100" w:beforeAutospacing="1" w:after="100" w:afterAutospacing="1"/>
              <w:ind w:left="-30"/>
              <w:jc w:val="center"/>
            </w:pPr>
            <w:r>
              <w:rPr>
                <w:rFonts w:ascii="SimSun" w:eastAsia="SimSun" w:hAnsi="SimSun" w:cs="SimSun"/>
                <w:noProof/>
              </w:rPr>
              <w:drawing>
                <wp:inline distT="0" distB="0" distL="114300" distR="114300" wp14:anchorId="502C724D" wp14:editId="5429DFCB">
                  <wp:extent cx="4038600" cy="819150"/>
                  <wp:effectExtent l="0" t="0" r="0" b="0"/>
                  <wp:docPr id="1"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MG_256"/>
                          <pic:cNvPicPr>
                            <a:picLocks noChangeAspect="1"/>
                          </pic:cNvPicPr>
                        </pic:nvPicPr>
                        <pic:blipFill>
                          <a:blip r:embed="rId8"/>
                          <a:stretch>
                            <a:fillRect/>
                          </a:stretch>
                        </pic:blipFill>
                        <pic:spPr>
                          <a:xfrm>
                            <a:off x="0" y="0"/>
                            <a:ext cx="4038600" cy="819150"/>
                          </a:xfrm>
                          <a:prstGeom prst="rect">
                            <a:avLst/>
                          </a:prstGeom>
                          <a:noFill/>
                          <a:ln w="9525">
                            <a:noFill/>
                          </a:ln>
                        </pic:spPr>
                      </pic:pic>
                    </a:graphicData>
                  </a:graphic>
                </wp:inline>
              </w:drawing>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separate"/>
            </w:r>
            <w:r>
              <w:fldChar w:fldCharType="begin"/>
            </w:r>
            <w:r>
              <w:instrText xml:space="preserve"> INCLUDEPICTURE  "http://www.hostos.cuny.edu/ooa/images/ooa02.gif" \* MERGEFORMATINET </w:instrTex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1213" w:type="pct"/>
            <w:shd w:val="clear" w:color="auto" w:fill="auto"/>
            <w:tcMar>
              <w:top w:w="15" w:type="dxa"/>
              <w:left w:w="15" w:type="dxa"/>
              <w:bottom w:w="15" w:type="dxa"/>
              <w:right w:w="15" w:type="dxa"/>
            </w:tcMar>
            <w:vAlign w:val="center"/>
          </w:tcPr>
          <w:p w14:paraId="3EE23FE2" w14:textId="77777777" w:rsidR="00921183" w:rsidRDefault="00000000">
            <w:pPr>
              <w:spacing w:before="100" w:beforeAutospacing="1" w:after="100" w:afterAutospacing="1"/>
              <w:jc w:val="center"/>
            </w:pPr>
            <w:hyperlink r:id="rId9" w:tgtFrame="_top" w:history="1">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B536F9">
                <w:rPr>
                  <w:color w:val="0000FF"/>
                </w:rPr>
                <w:fldChar w:fldCharType="begin"/>
              </w:r>
              <w:r w:rsidR="00B536F9">
                <w:rPr>
                  <w:color w:val="0000FF"/>
                </w:rPr>
                <w:instrText xml:space="preserve"> INCLUDEPICTURE  "http://www.hostos.cuny.edu/ooa/images/logotype_cuny_blue_small.jpg" \* MERGEFORMATINET </w:instrText>
              </w:r>
              <w:r w:rsidR="00B536F9">
                <w:rPr>
                  <w:color w:val="0000FF"/>
                </w:rPr>
                <w:fldChar w:fldCharType="separate"/>
              </w:r>
              <w:r w:rsidR="00C02332">
                <w:rPr>
                  <w:color w:val="0000FF"/>
                </w:rPr>
                <w:fldChar w:fldCharType="begin"/>
              </w:r>
              <w:r w:rsidR="00C02332">
                <w:rPr>
                  <w:color w:val="0000FF"/>
                </w:rPr>
                <w:instrText xml:space="preserve"> INCLUDEPICTURE  "http://www.hostos.cuny.edu/ooa/images/logotype_cuny_blue_small.jpg" \* MERGEFORMATINET </w:instrText>
              </w:r>
              <w:r w:rsidR="00C02332">
                <w:rPr>
                  <w:color w:val="0000FF"/>
                </w:rPr>
                <w:fldChar w:fldCharType="separate"/>
              </w:r>
              <w:r w:rsidR="00B05CF0">
                <w:rPr>
                  <w:color w:val="0000FF"/>
                </w:rPr>
                <w:fldChar w:fldCharType="begin"/>
              </w:r>
              <w:r w:rsidR="00B05CF0">
                <w:rPr>
                  <w:color w:val="0000FF"/>
                </w:rPr>
                <w:instrText xml:space="preserve"> INCLUDEPICTURE  "http://www.hostos.cuny.edu/ooa/images/logotype_cuny_blue_small.jpg" \* MERGEFORMATINET </w:instrText>
              </w:r>
              <w:r w:rsidR="00B05CF0">
                <w:rPr>
                  <w:color w:val="0000FF"/>
                </w:rPr>
                <w:fldChar w:fldCharType="separate"/>
              </w:r>
              <w:r w:rsidR="0021225A">
                <w:rPr>
                  <w:color w:val="0000FF"/>
                </w:rPr>
                <w:fldChar w:fldCharType="begin"/>
              </w:r>
              <w:r w:rsidR="0021225A">
                <w:rPr>
                  <w:color w:val="0000FF"/>
                </w:rPr>
                <w:instrText xml:space="preserve"> INCLUDEPICTURE  "http://www.hostos.cuny.edu/ooa/images/logotype_cuny_blue_small.jpg" \* MERGEFORMATINET </w:instrText>
              </w:r>
              <w:r w:rsidR="0021225A">
                <w:rPr>
                  <w:color w:val="0000FF"/>
                </w:rPr>
                <w:fldChar w:fldCharType="separate"/>
              </w:r>
              <w:r w:rsidR="007922FF">
                <w:rPr>
                  <w:color w:val="0000FF"/>
                </w:rPr>
                <w:fldChar w:fldCharType="begin"/>
              </w:r>
              <w:r w:rsidR="007922FF">
                <w:rPr>
                  <w:color w:val="0000FF"/>
                </w:rPr>
                <w:instrText xml:space="preserve"> INCLUDEPICTURE  "http://www.hostos.cuny.edu/ooa/images/logotype_cuny_blue_small.jpg" \* MERGEFORMATINET </w:instrText>
              </w:r>
              <w:r w:rsidR="007922FF">
                <w:rPr>
                  <w:color w:val="0000FF"/>
                </w:rPr>
                <w:fldChar w:fldCharType="separate"/>
              </w:r>
              <w:r w:rsidR="008B4CA5">
                <w:rPr>
                  <w:color w:val="0000FF"/>
                </w:rPr>
                <w:fldChar w:fldCharType="begin"/>
              </w:r>
              <w:r w:rsidR="008B4CA5">
                <w:rPr>
                  <w:color w:val="0000FF"/>
                </w:rPr>
                <w:instrText xml:space="preserve"> INCLUDEPICTURE  "http://www.hostos.cuny.edu/ooa/images/logotype_cuny_blue_small.jpg" \* MERGEFORMATINET </w:instrText>
              </w:r>
              <w:r w:rsidR="008B4CA5">
                <w:rPr>
                  <w:color w:val="0000FF"/>
                </w:rPr>
                <w:fldChar w:fldCharType="separate"/>
              </w:r>
              <w:r w:rsidR="00DB6AC5">
                <w:rPr>
                  <w:color w:val="0000FF"/>
                </w:rPr>
                <w:fldChar w:fldCharType="begin"/>
              </w:r>
              <w:r w:rsidR="00DB6AC5">
                <w:rPr>
                  <w:color w:val="0000FF"/>
                </w:rPr>
                <w:instrText xml:space="preserve"> INCLUDEPICTURE  "http://www.hostos.cuny.edu/ooa/images/logotype_cuny_blue_small.jpg" \* MERGEFORMATINET </w:instrText>
              </w:r>
              <w:r w:rsidR="00DB6AC5">
                <w:rPr>
                  <w:color w:val="0000FF"/>
                </w:rPr>
                <w:fldChar w:fldCharType="separate"/>
              </w:r>
              <w:r w:rsidR="00ED7572">
                <w:rPr>
                  <w:color w:val="0000FF"/>
                </w:rPr>
                <w:fldChar w:fldCharType="begin"/>
              </w:r>
              <w:r w:rsidR="00ED7572">
                <w:rPr>
                  <w:color w:val="0000FF"/>
                </w:rPr>
                <w:instrText xml:space="preserve"> INCLUDEPICTURE  "http://www.hostos.cuny.edu/ooa/images/logotype_cuny_blue_small.jpg" \* MERGEFORMATINET </w:instrText>
              </w:r>
              <w:r w:rsidR="00ED7572">
                <w:rPr>
                  <w:color w:val="0000FF"/>
                </w:rPr>
                <w:fldChar w:fldCharType="separate"/>
              </w:r>
              <w:r>
                <w:rPr>
                  <w:color w:val="0000FF"/>
                </w:rPr>
                <w:fldChar w:fldCharType="begin"/>
              </w:r>
              <w:r>
                <w:rPr>
                  <w:color w:val="0000FF"/>
                </w:rPr>
                <w:instrText xml:space="preserve"> INCLUDEPICTURE  "http://www.hostos.cuny.edu/ooa/images/logotype_cuny_blue_small.jpg" \* MERGEFORMATINET </w:instrText>
              </w:r>
              <w:r>
                <w:rPr>
                  <w:color w:val="0000FF"/>
                </w:rPr>
                <w:fldChar w:fldCharType="separate"/>
              </w:r>
              <w:r>
                <w:rPr>
                  <w:color w:val="0000FF"/>
                </w:rPr>
                <w:fldChar w:fldCharType="begin"/>
              </w:r>
              <w:r>
                <w:rPr>
                  <w:color w:val="0000FF"/>
                </w:rPr>
                <w:instrText xml:space="preserve"> INCLUDEPICTURE  "http://www.hostos.cuny.edu/ooa/images/logotype_cuny_blue_small.jpg" \* MERGEFORMATINET </w:instrText>
              </w:r>
              <w:r>
                <w:rPr>
                  <w:color w:val="0000FF"/>
                </w:rPr>
                <w:fldChar w:fldCharType="separate"/>
              </w:r>
              <w:r>
                <w:rPr>
                  <w:color w:val="0000FF"/>
                </w:rPr>
                <w:fldChar w:fldCharType="begin"/>
              </w:r>
              <w:r>
                <w:rPr>
                  <w:color w:val="0000FF"/>
                </w:rPr>
                <w:instrText xml:space="preserve"> INCLUDEPICTURE  "http://www.hostos.cuny.edu/ooa/images/logotype_cuny_blue_small.jpg" \* MERGEFORMATINET </w:instrText>
              </w:r>
              <w:r>
                <w:rPr>
                  <w:color w:val="0000FF"/>
                </w:rPr>
                <w:fldChar w:fldCharType="separate"/>
              </w:r>
              <w:r w:rsidR="00672C04">
                <w:rPr>
                  <w:color w:val="0000FF"/>
                </w:rPr>
                <w:pict w14:anchorId="657B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City University of New York (CUNY) logo" style="width:75pt;height:36pt" o:button="t">
                    <v:imagedata r:id="rId10" r:href="rId11"/>
                  </v:shape>
                </w:pict>
              </w:r>
              <w:r>
                <w:rPr>
                  <w:color w:val="0000FF"/>
                </w:rPr>
                <w:fldChar w:fldCharType="end"/>
              </w:r>
              <w:r>
                <w:rPr>
                  <w:color w:val="0000FF"/>
                </w:rPr>
                <w:fldChar w:fldCharType="end"/>
              </w:r>
              <w:r>
                <w:rPr>
                  <w:color w:val="0000FF"/>
                </w:rPr>
                <w:fldChar w:fldCharType="end"/>
              </w:r>
              <w:r w:rsidR="00ED7572">
                <w:rPr>
                  <w:color w:val="0000FF"/>
                </w:rPr>
                <w:fldChar w:fldCharType="end"/>
              </w:r>
              <w:r w:rsidR="00DB6AC5">
                <w:rPr>
                  <w:color w:val="0000FF"/>
                </w:rPr>
                <w:fldChar w:fldCharType="end"/>
              </w:r>
              <w:r w:rsidR="008B4CA5">
                <w:rPr>
                  <w:color w:val="0000FF"/>
                </w:rPr>
                <w:fldChar w:fldCharType="end"/>
              </w:r>
              <w:r w:rsidR="007922FF">
                <w:rPr>
                  <w:color w:val="0000FF"/>
                </w:rPr>
                <w:fldChar w:fldCharType="end"/>
              </w:r>
              <w:r w:rsidR="0021225A">
                <w:rPr>
                  <w:color w:val="0000FF"/>
                </w:rPr>
                <w:fldChar w:fldCharType="end"/>
              </w:r>
              <w:r w:rsidR="00B05CF0">
                <w:rPr>
                  <w:color w:val="0000FF"/>
                </w:rPr>
                <w:fldChar w:fldCharType="end"/>
              </w:r>
              <w:r w:rsidR="00C02332">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r w:rsidR="00B536F9">
                <w:rPr>
                  <w:color w:val="0000FF"/>
                </w:rPr>
                <w:fldChar w:fldCharType="end"/>
              </w:r>
            </w:hyperlink>
          </w:p>
        </w:tc>
      </w:tr>
    </w:tbl>
    <w:p w14:paraId="531265E1" w14:textId="77777777" w:rsidR="00921183" w:rsidRDefault="00921183">
      <w:pPr>
        <w:jc w:val="both"/>
        <w:rPr>
          <w:rFonts w:ascii="Calibri Light" w:hAnsi="Calibri Light" w:cs="Calibri Light"/>
          <w:color w:val="FF6600"/>
          <w:sz w:val="32"/>
          <w:szCs w:val="32"/>
        </w:rPr>
      </w:pPr>
    </w:p>
    <w:p w14:paraId="03DB3D09" w14:textId="4B255CBD" w:rsidR="00921183" w:rsidRDefault="00B536F9">
      <w:pPr>
        <w:jc w:val="center"/>
        <w:rPr>
          <w:rFonts w:ascii="Calibri Light" w:hAnsi="Calibri Light" w:cs="Calibri Light"/>
          <w:b/>
          <w:bCs/>
          <w:color w:val="FF6600"/>
          <w:sz w:val="32"/>
          <w:szCs w:val="32"/>
        </w:rPr>
      </w:pPr>
      <w:r>
        <w:rPr>
          <w:rFonts w:ascii="Calibri Light" w:hAnsi="Calibri Light" w:cs="Calibri Light"/>
          <w:b/>
          <w:bCs/>
          <w:color w:val="FF6600"/>
          <w:sz w:val="32"/>
          <w:szCs w:val="32"/>
        </w:rPr>
        <w:t xml:space="preserve">Minutes for the Affirmative Action </w:t>
      </w:r>
      <w:r w:rsidR="00F148C5">
        <w:rPr>
          <w:rFonts w:ascii="Calibri Light" w:hAnsi="Calibri Light" w:cs="Calibri Light"/>
          <w:b/>
          <w:bCs/>
          <w:color w:val="FF6600"/>
          <w:sz w:val="32"/>
          <w:szCs w:val="32"/>
        </w:rPr>
        <w:t>Diversity</w:t>
      </w:r>
      <w:r w:rsidR="00036D3D">
        <w:rPr>
          <w:rFonts w:ascii="Calibri Light" w:hAnsi="Calibri Light" w:cs="Calibri Light"/>
          <w:b/>
          <w:bCs/>
          <w:color w:val="FF6600"/>
          <w:sz w:val="32"/>
          <w:szCs w:val="32"/>
        </w:rPr>
        <w:t>, Equity</w:t>
      </w:r>
      <w:r w:rsidR="00F148C5">
        <w:rPr>
          <w:rFonts w:ascii="Calibri Light" w:hAnsi="Calibri Light" w:cs="Calibri Light"/>
          <w:b/>
          <w:bCs/>
          <w:color w:val="FF6600"/>
          <w:sz w:val="32"/>
          <w:szCs w:val="32"/>
        </w:rPr>
        <w:t xml:space="preserve"> &amp; Inclusion </w:t>
      </w:r>
      <w:r>
        <w:rPr>
          <w:rFonts w:ascii="Calibri Light" w:hAnsi="Calibri Light" w:cs="Calibri Light"/>
          <w:b/>
          <w:bCs/>
          <w:color w:val="FF6600"/>
          <w:sz w:val="32"/>
          <w:szCs w:val="32"/>
        </w:rPr>
        <w:t>Committee</w:t>
      </w:r>
      <w:r w:rsidR="00F148C5">
        <w:rPr>
          <w:rFonts w:ascii="Calibri Light" w:hAnsi="Calibri Light" w:cs="Calibri Light"/>
          <w:b/>
          <w:bCs/>
          <w:color w:val="FF6600"/>
          <w:sz w:val="32"/>
          <w:szCs w:val="32"/>
        </w:rPr>
        <w:t>*</w:t>
      </w:r>
    </w:p>
    <w:p w14:paraId="0CC14303" w14:textId="77777777" w:rsidR="00921183" w:rsidRDefault="00921183">
      <w:pPr>
        <w:jc w:val="center"/>
        <w:rPr>
          <w:rFonts w:ascii="Calibri Light" w:hAnsi="Calibri Light" w:cs="Calibri Light"/>
          <w:color w:val="FF6600"/>
          <w:sz w:val="32"/>
          <w:szCs w:val="32"/>
        </w:rPr>
      </w:pPr>
    </w:p>
    <w:p w14:paraId="6D347B2A" w14:textId="3D6BCE71" w:rsidR="00921183" w:rsidRDefault="00B536F9">
      <w:r>
        <w:rPr>
          <w:b/>
          <w:bCs/>
        </w:rPr>
        <w:t>Date and Time:</w:t>
      </w:r>
      <w:r>
        <w:t xml:space="preserve"> </w:t>
      </w:r>
      <w:r w:rsidR="008417C9">
        <w:t>May 13</w:t>
      </w:r>
      <w:r w:rsidR="009E4BB6">
        <w:t xml:space="preserve">, </w:t>
      </w:r>
      <w:proofErr w:type="gramStart"/>
      <w:r w:rsidR="009E4BB6">
        <w:t>2022</w:t>
      </w:r>
      <w:proofErr w:type="gramEnd"/>
      <w:r w:rsidR="00C231D4">
        <w:t xml:space="preserve"> </w:t>
      </w:r>
      <w:r>
        <w:t>3:30PM</w:t>
      </w:r>
      <w:r>
        <w:tab/>
      </w:r>
      <w:r>
        <w:tab/>
      </w:r>
    </w:p>
    <w:p w14:paraId="1165F97D" w14:textId="77777777" w:rsidR="00921183" w:rsidRDefault="00B536F9">
      <w:r>
        <w:rPr>
          <w:b/>
          <w:bCs/>
        </w:rPr>
        <w:t>Location:</w:t>
      </w:r>
      <w:r>
        <w:t xml:space="preserve"> Virtual</w:t>
      </w:r>
    </w:p>
    <w:p w14:paraId="1020F460" w14:textId="77777777" w:rsidR="00921183" w:rsidRDefault="00B536F9">
      <w:r>
        <w:t xml:space="preserve">                                    </w:t>
      </w:r>
    </w:p>
    <w:p w14:paraId="5B4BB0AF" w14:textId="77777777" w:rsidR="00921183" w:rsidRDefault="00B536F9">
      <w:r>
        <w:rPr>
          <w:b/>
          <w:bCs/>
        </w:rPr>
        <w:t>Presiding:</w:t>
      </w:r>
      <w:r>
        <w:t xml:space="preserve"> Nancy Genova</w:t>
      </w:r>
      <w:r>
        <w:tab/>
      </w:r>
    </w:p>
    <w:p w14:paraId="01C6110E" w14:textId="2F1944F5" w:rsidR="00921183" w:rsidRDefault="00B536F9">
      <w:r>
        <w:rPr>
          <w:b/>
          <w:bCs/>
        </w:rPr>
        <w:t>Present:</w:t>
      </w:r>
      <w:r>
        <w:t xml:space="preserve"> Stacey Cooper, </w:t>
      </w:r>
      <w:proofErr w:type="spellStart"/>
      <w:r>
        <w:t>Elys</w:t>
      </w:r>
      <w:proofErr w:type="spellEnd"/>
      <w:r>
        <w:t xml:space="preserve"> Vasquez-</w:t>
      </w:r>
      <w:proofErr w:type="spellStart"/>
      <w:r>
        <w:t>Iscan</w:t>
      </w:r>
      <w:proofErr w:type="spellEnd"/>
      <w:r>
        <w:t xml:space="preserve">, Emmanuel </w:t>
      </w:r>
      <w:proofErr w:type="spellStart"/>
      <w:r>
        <w:t>Velayos</w:t>
      </w:r>
      <w:proofErr w:type="spellEnd"/>
      <w:r>
        <w:t xml:space="preserve"> </w:t>
      </w:r>
      <w:proofErr w:type="spellStart"/>
      <w:r>
        <w:t>Larrabure</w:t>
      </w:r>
      <w:proofErr w:type="spellEnd"/>
      <w:r w:rsidR="00C231D4">
        <w:t xml:space="preserve">, Elba Bonilla, </w:t>
      </w:r>
      <w:r w:rsidR="00A1194D">
        <w:t>Hector Soto, Latoya Jeffers</w:t>
      </w:r>
    </w:p>
    <w:p w14:paraId="2688F3A5" w14:textId="78D02331" w:rsidR="00921183" w:rsidRDefault="00B536F9">
      <w:pPr>
        <w:rPr>
          <w:b/>
          <w:bCs/>
        </w:rPr>
      </w:pPr>
      <w:r>
        <w:rPr>
          <w:b/>
          <w:bCs/>
        </w:rPr>
        <w:t>Excused:</w:t>
      </w:r>
      <w:r w:rsidR="00BE781D">
        <w:rPr>
          <w:b/>
          <w:bCs/>
        </w:rPr>
        <w:t xml:space="preserve"> </w:t>
      </w:r>
    </w:p>
    <w:p w14:paraId="6EF7C533" w14:textId="736C1E6A" w:rsidR="00921183" w:rsidRDefault="00B536F9">
      <w:r>
        <w:rPr>
          <w:b/>
          <w:bCs/>
        </w:rPr>
        <w:t xml:space="preserve">Absent: </w:t>
      </w:r>
      <w:r>
        <w:t>Ma</w:t>
      </w:r>
      <w:r w:rsidR="00C231D4">
        <w:t xml:space="preserve">llik Sullivan, </w:t>
      </w:r>
      <w:r w:rsidR="00444B9F">
        <w:t>Brian Carter</w:t>
      </w:r>
    </w:p>
    <w:p w14:paraId="32553894" w14:textId="2B437ABE" w:rsidR="00921183" w:rsidRDefault="00B536F9">
      <w:r>
        <w:rPr>
          <w:b/>
          <w:bCs/>
        </w:rPr>
        <w:t>Guests:</w:t>
      </w:r>
      <w:r>
        <w:t xml:space="preserve"> </w:t>
      </w:r>
      <w:r w:rsidR="005638D3">
        <w:t xml:space="preserve">Professor </w:t>
      </w:r>
      <w:r w:rsidR="00130E59">
        <w:t xml:space="preserve">Ana </w:t>
      </w:r>
      <w:proofErr w:type="spellStart"/>
      <w:r w:rsidR="00130E59">
        <w:t>Ozuna</w:t>
      </w:r>
      <w:proofErr w:type="spellEnd"/>
    </w:p>
    <w:p w14:paraId="0A6853C5" w14:textId="77777777" w:rsidR="00921183" w:rsidRDefault="00921183"/>
    <w:p w14:paraId="5F62636A" w14:textId="692E47BB" w:rsidR="00921183" w:rsidRDefault="00B536F9">
      <w:r>
        <w:rPr>
          <w:b/>
          <w:bCs/>
        </w:rPr>
        <w:t>Minutes Prepared By:</w:t>
      </w:r>
      <w:r>
        <w:t xml:space="preserve"> </w:t>
      </w:r>
      <w:r w:rsidR="00C231D4">
        <w:t>Nancy Genova, MPA</w:t>
      </w:r>
    </w:p>
    <w:p w14:paraId="5C8CB1D9" w14:textId="77777777" w:rsidR="00921183" w:rsidRDefault="00921183"/>
    <w:p w14:paraId="1C8FB198" w14:textId="77777777" w:rsidR="00921183" w:rsidRDefault="00B536F9">
      <w:r>
        <w:t xml:space="preserve">                                           </w:t>
      </w:r>
    </w:p>
    <w:tbl>
      <w:tblPr>
        <w:tblStyle w:val="TableGrid"/>
        <w:tblW w:w="0" w:type="auto"/>
        <w:tblLook w:val="04A0" w:firstRow="1" w:lastRow="0" w:firstColumn="1" w:lastColumn="0" w:noHBand="0" w:noVBand="1"/>
      </w:tblPr>
      <w:tblGrid>
        <w:gridCol w:w="3116"/>
        <w:gridCol w:w="3117"/>
        <w:gridCol w:w="3117"/>
      </w:tblGrid>
      <w:tr w:rsidR="00921183" w14:paraId="36D42045" w14:textId="77777777">
        <w:tc>
          <w:tcPr>
            <w:tcW w:w="3116" w:type="dxa"/>
          </w:tcPr>
          <w:p w14:paraId="4F9CCCF0" w14:textId="77777777" w:rsidR="00921183" w:rsidRDefault="00B536F9">
            <w:r>
              <w:rPr>
                <w:b/>
              </w:rPr>
              <w:t>TOPIC</w:t>
            </w:r>
          </w:p>
        </w:tc>
        <w:tc>
          <w:tcPr>
            <w:tcW w:w="3117" w:type="dxa"/>
          </w:tcPr>
          <w:p w14:paraId="4D6F0048" w14:textId="77777777" w:rsidR="00921183" w:rsidRDefault="00B536F9">
            <w:r>
              <w:rPr>
                <w:b/>
              </w:rPr>
              <w:t>DISCUSSION</w:t>
            </w:r>
          </w:p>
        </w:tc>
        <w:tc>
          <w:tcPr>
            <w:tcW w:w="3117" w:type="dxa"/>
          </w:tcPr>
          <w:p w14:paraId="366AB5FB" w14:textId="77777777" w:rsidR="00921183" w:rsidRDefault="00B536F9">
            <w:r>
              <w:rPr>
                <w:b/>
              </w:rPr>
              <w:t>DECISION / ACTION</w:t>
            </w:r>
          </w:p>
        </w:tc>
      </w:tr>
      <w:tr w:rsidR="00921183" w14:paraId="6B05800B" w14:textId="77777777">
        <w:trPr>
          <w:trHeight w:val="46"/>
        </w:trPr>
        <w:tc>
          <w:tcPr>
            <w:tcW w:w="3116" w:type="dxa"/>
          </w:tcPr>
          <w:p w14:paraId="02E6D8DA" w14:textId="77777777" w:rsidR="00921183" w:rsidRDefault="00921183"/>
          <w:p w14:paraId="6D19D83E" w14:textId="77777777" w:rsidR="00921183" w:rsidRDefault="00B536F9">
            <w:r>
              <w:t>Call to Order</w:t>
            </w:r>
          </w:p>
          <w:p w14:paraId="1389B372" w14:textId="77777777" w:rsidR="00921183" w:rsidRDefault="00921183"/>
        </w:tc>
        <w:tc>
          <w:tcPr>
            <w:tcW w:w="3117" w:type="dxa"/>
          </w:tcPr>
          <w:p w14:paraId="6FDDD983" w14:textId="6717917B" w:rsidR="00921183" w:rsidRDefault="00B536F9">
            <w:r>
              <w:t>Quorum established for</w:t>
            </w:r>
            <w:r w:rsidR="00C231D4">
              <w:t xml:space="preserve"> meeting.</w:t>
            </w:r>
          </w:p>
          <w:p w14:paraId="2CEE6C4E" w14:textId="77777777" w:rsidR="00921183" w:rsidRDefault="00921183"/>
        </w:tc>
        <w:tc>
          <w:tcPr>
            <w:tcW w:w="3117" w:type="dxa"/>
          </w:tcPr>
          <w:p w14:paraId="74B9A86F" w14:textId="5527F8BE" w:rsidR="00921183" w:rsidRDefault="00B536F9">
            <w:r>
              <w:t>Meeting called to order at 3:</w:t>
            </w:r>
            <w:r w:rsidR="008417C9">
              <w:t>36</w:t>
            </w:r>
            <w:r>
              <w:t>PM</w:t>
            </w:r>
          </w:p>
          <w:p w14:paraId="117FB312" w14:textId="77777777" w:rsidR="00921183" w:rsidRDefault="00921183"/>
        </w:tc>
      </w:tr>
      <w:tr w:rsidR="00921183" w14:paraId="5A5E52A4" w14:textId="77777777">
        <w:tc>
          <w:tcPr>
            <w:tcW w:w="3116" w:type="dxa"/>
          </w:tcPr>
          <w:p w14:paraId="4D0E2347" w14:textId="77777777" w:rsidR="00921183" w:rsidRDefault="00921183"/>
          <w:p w14:paraId="326C293E" w14:textId="77777777" w:rsidR="00921183" w:rsidRDefault="00B536F9">
            <w:r>
              <w:t>Acceptance of Agenda</w:t>
            </w:r>
          </w:p>
          <w:p w14:paraId="7A77102D" w14:textId="77777777" w:rsidR="00921183" w:rsidRDefault="00921183"/>
          <w:p w14:paraId="44B49AB0" w14:textId="77777777" w:rsidR="00921183" w:rsidRDefault="00921183"/>
          <w:p w14:paraId="5F9F3404" w14:textId="77777777" w:rsidR="00921183" w:rsidRDefault="00921183"/>
        </w:tc>
        <w:tc>
          <w:tcPr>
            <w:tcW w:w="3117" w:type="dxa"/>
          </w:tcPr>
          <w:p w14:paraId="5BDA5717" w14:textId="77777777" w:rsidR="00921183" w:rsidRDefault="00B536F9">
            <w:r>
              <w:t>Motion to accept agenda.</w:t>
            </w:r>
          </w:p>
          <w:p w14:paraId="624C04DD" w14:textId="77777777" w:rsidR="00921183" w:rsidRDefault="00921183"/>
          <w:p w14:paraId="196387A0" w14:textId="77777777" w:rsidR="00921183" w:rsidRDefault="00B536F9">
            <w:r>
              <w:t>Motion seconded.</w:t>
            </w:r>
          </w:p>
        </w:tc>
        <w:tc>
          <w:tcPr>
            <w:tcW w:w="3117" w:type="dxa"/>
          </w:tcPr>
          <w:p w14:paraId="0E89DFE0" w14:textId="3E89A19E" w:rsidR="00921183" w:rsidRDefault="00B536F9">
            <w:r>
              <w:t xml:space="preserve">Agenda </w:t>
            </w:r>
            <w:r w:rsidR="008417C9">
              <w:t>Hector moved to accept, Stacy Accepts none opposed.</w:t>
            </w:r>
          </w:p>
        </w:tc>
      </w:tr>
      <w:tr w:rsidR="00921183" w14:paraId="2D676A52" w14:textId="77777777">
        <w:tc>
          <w:tcPr>
            <w:tcW w:w="3116" w:type="dxa"/>
          </w:tcPr>
          <w:p w14:paraId="6F95353E" w14:textId="77777777" w:rsidR="00921183" w:rsidRDefault="00921183"/>
          <w:p w14:paraId="4A28794B" w14:textId="77777777" w:rsidR="00921183" w:rsidRDefault="00B536F9">
            <w:r>
              <w:t>Approval of Minutes</w:t>
            </w:r>
          </w:p>
          <w:p w14:paraId="0DC21022" w14:textId="77777777" w:rsidR="00921183" w:rsidRDefault="00921183"/>
        </w:tc>
        <w:tc>
          <w:tcPr>
            <w:tcW w:w="3117" w:type="dxa"/>
          </w:tcPr>
          <w:p w14:paraId="3EFF9716" w14:textId="77777777" w:rsidR="00C231D4" w:rsidRDefault="00BE781D">
            <w:r>
              <w:t xml:space="preserve">Minutes </w:t>
            </w:r>
            <w:r w:rsidR="008417C9">
              <w:t>revisions suggested.</w:t>
            </w:r>
            <w:r w:rsidR="00C231D4">
              <w:t xml:space="preserve"> </w:t>
            </w:r>
          </w:p>
          <w:p w14:paraId="1B609E3F" w14:textId="6CA63301" w:rsidR="008417C9" w:rsidRDefault="008417C9"/>
        </w:tc>
        <w:tc>
          <w:tcPr>
            <w:tcW w:w="3117" w:type="dxa"/>
          </w:tcPr>
          <w:p w14:paraId="2965A965" w14:textId="24BCE733" w:rsidR="00921183" w:rsidRDefault="008417C9">
            <w:proofErr w:type="spellStart"/>
            <w:r>
              <w:t>Professsor</w:t>
            </w:r>
            <w:proofErr w:type="spellEnd"/>
            <w:r>
              <w:t xml:space="preserve"> Marcella’s name replaced with Ana </w:t>
            </w:r>
            <w:proofErr w:type="spellStart"/>
            <w:r>
              <w:t>Ozuna</w:t>
            </w:r>
            <w:proofErr w:type="spellEnd"/>
            <w:r>
              <w:t xml:space="preserve">. </w:t>
            </w:r>
          </w:p>
          <w:p w14:paraId="305A9A88" w14:textId="373409BF" w:rsidR="008417C9" w:rsidRDefault="008417C9">
            <w:r>
              <w:t>E</w:t>
            </w:r>
            <w:r w:rsidR="00DA70BB">
              <w:t>mmanuel</w:t>
            </w:r>
            <w:r>
              <w:t xml:space="preserve"> accept</w:t>
            </w:r>
            <w:r w:rsidR="00DA70BB">
              <w:t xml:space="preserve">s, </w:t>
            </w:r>
            <w:proofErr w:type="spellStart"/>
            <w:r w:rsidR="00672C04">
              <w:t>Elys</w:t>
            </w:r>
            <w:proofErr w:type="spellEnd"/>
            <w:r w:rsidR="00672C04">
              <w:t xml:space="preserve"> </w:t>
            </w:r>
            <w:r w:rsidR="00DA70BB">
              <w:t>accepts none opposed.</w:t>
            </w:r>
            <w:r>
              <w:t xml:space="preserve"> </w:t>
            </w:r>
          </w:p>
          <w:p w14:paraId="724A7495" w14:textId="5D701821" w:rsidR="008417C9" w:rsidRDefault="008417C9"/>
        </w:tc>
      </w:tr>
    </w:tbl>
    <w:p w14:paraId="73669EBB" w14:textId="77777777" w:rsidR="00921183" w:rsidRDefault="00B536F9">
      <w:r>
        <w:br w:type="page"/>
      </w:r>
    </w:p>
    <w:tbl>
      <w:tblPr>
        <w:tblStyle w:val="TableGrid"/>
        <w:tblW w:w="0" w:type="auto"/>
        <w:tblLook w:val="04A0" w:firstRow="1" w:lastRow="0" w:firstColumn="1" w:lastColumn="0" w:noHBand="0" w:noVBand="1"/>
      </w:tblPr>
      <w:tblGrid>
        <w:gridCol w:w="3116"/>
        <w:gridCol w:w="3117"/>
        <w:gridCol w:w="3117"/>
      </w:tblGrid>
      <w:tr w:rsidR="00921183" w14:paraId="3B24BBF9" w14:textId="77777777">
        <w:trPr>
          <w:trHeight w:val="46"/>
        </w:trPr>
        <w:tc>
          <w:tcPr>
            <w:tcW w:w="3116" w:type="dxa"/>
          </w:tcPr>
          <w:p w14:paraId="42E46F0F" w14:textId="77777777" w:rsidR="00921183" w:rsidRDefault="00B536F9">
            <w:r>
              <w:rPr>
                <w:b/>
              </w:rPr>
              <w:lastRenderedPageBreak/>
              <w:t>TOPIC</w:t>
            </w:r>
          </w:p>
        </w:tc>
        <w:tc>
          <w:tcPr>
            <w:tcW w:w="3117" w:type="dxa"/>
          </w:tcPr>
          <w:p w14:paraId="5085677E" w14:textId="77777777" w:rsidR="00921183" w:rsidRDefault="00B536F9">
            <w:r>
              <w:rPr>
                <w:b/>
              </w:rPr>
              <w:t>DISCUSSION</w:t>
            </w:r>
          </w:p>
        </w:tc>
        <w:tc>
          <w:tcPr>
            <w:tcW w:w="3117" w:type="dxa"/>
          </w:tcPr>
          <w:p w14:paraId="28E02CD5" w14:textId="77777777" w:rsidR="00921183" w:rsidRDefault="00B536F9">
            <w:r>
              <w:rPr>
                <w:b/>
              </w:rPr>
              <w:t>DECISION / ACTION</w:t>
            </w:r>
          </w:p>
        </w:tc>
      </w:tr>
      <w:tr w:rsidR="00921183" w14:paraId="35FA4A06" w14:textId="77777777">
        <w:tc>
          <w:tcPr>
            <w:tcW w:w="3116" w:type="dxa"/>
          </w:tcPr>
          <w:p w14:paraId="0B4C1C12" w14:textId="77777777" w:rsidR="00921183" w:rsidRDefault="00921183"/>
          <w:p w14:paraId="01DDA580" w14:textId="77777777" w:rsidR="00921183" w:rsidRDefault="00B536F9">
            <w:r>
              <w:t>Chair’s Remarks</w:t>
            </w:r>
          </w:p>
        </w:tc>
        <w:tc>
          <w:tcPr>
            <w:tcW w:w="3117" w:type="dxa"/>
          </w:tcPr>
          <w:p w14:paraId="222EFCFF" w14:textId="609C1D1C" w:rsidR="00C76E37" w:rsidRPr="00AA7C5B" w:rsidRDefault="00DA70BB">
            <w:pPr>
              <w:rPr>
                <w:color w:val="00B0F0"/>
              </w:rPr>
            </w:pPr>
            <w:proofErr w:type="spellStart"/>
            <w:r w:rsidRPr="00AA7C5B">
              <w:rPr>
                <w:color w:val="00B0F0"/>
              </w:rPr>
              <w:t>MacKensie</w:t>
            </w:r>
            <w:proofErr w:type="spellEnd"/>
            <w:r w:rsidRPr="00AA7C5B">
              <w:rPr>
                <w:color w:val="00B0F0"/>
              </w:rPr>
              <w:t xml:space="preserve"> Scott application might change according to </w:t>
            </w:r>
            <w:proofErr w:type="spellStart"/>
            <w:r w:rsidRPr="00AA7C5B">
              <w:rPr>
                <w:color w:val="00B0F0"/>
              </w:rPr>
              <w:t>Idelsa</w:t>
            </w:r>
            <w:proofErr w:type="spellEnd"/>
            <w:r w:rsidRPr="00AA7C5B">
              <w:rPr>
                <w:color w:val="00B0F0"/>
              </w:rPr>
              <w:t xml:space="preserve"> who was not able to attend today’s meeting.</w:t>
            </w:r>
          </w:p>
          <w:p w14:paraId="6015B215" w14:textId="6B8EED35" w:rsidR="00DA70BB" w:rsidRPr="00AA7C5B" w:rsidRDefault="00DA70BB">
            <w:pPr>
              <w:rPr>
                <w:color w:val="00B0F0"/>
              </w:rPr>
            </w:pPr>
            <w:r w:rsidRPr="00AA7C5B">
              <w:rPr>
                <w:color w:val="00B0F0"/>
              </w:rPr>
              <w:t>Monies</w:t>
            </w:r>
            <w:r w:rsidR="00AB2490" w:rsidRPr="00AA7C5B">
              <w:rPr>
                <w:color w:val="00B0F0"/>
              </w:rPr>
              <w:t xml:space="preserve"> to be awarded might be</w:t>
            </w:r>
            <w:r w:rsidRPr="00AA7C5B">
              <w:rPr>
                <w:color w:val="00B0F0"/>
              </w:rPr>
              <w:t xml:space="preserve"> now awarded </w:t>
            </w:r>
            <w:r w:rsidR="00AB2490" w:rsidRPr="00AA7C5B">
              <w:rPr>
                <w:color w:val="00B0F0"/>
              </w:rPr>
              <w:t>for: a pipeline to transition students to Columbia University. Monies for Diversity and Inclusion.</w:t>
            </w:r>
          </w:p>
          <w:p w14:paraId="1EB391DC" w14:textId="216D784C" w:rsidR="00DA70BB" w:rsidRPr="00AA7C5B" w:rsidRDefault="00DA70BB">
            <w:pPr>
              <w:rPr>
                <w:color w:val="00B0F0"/>
              </w:rPr>
            </w:pPr>
            <w:r w:rsidRPr="00AA7C5B">
              <w:rPr>
                <w:color w:val="00B0F0"/>
              </w:rPr>
              <w:t>The role of this meeting was to plan if we should apply for this grant as a committee.</w:t>
            </w:r>
          </w:p>
          <w:p w14:paraId="7FACCCFA" w14:textId="3E115ABE" w:rsidR="00DA70BB" w:rsidRPr="00AA7C5B" w:rsidRDefault="00DA70BB">
            <w:pPr>
              <w:rPr>
                <w:color w:val="00B0F0"/>
              </w:rPr>
            </w:pPr>
            <w:r w:rsidRPr="00AA7C5B">
              <w:rPr>
                <w:color w:val="00B0F0"/>
              </w:rPr>
              <w:t xml:space="preserve">Charles in past minutes suggested doing a presentation of Marchella’s findings in her narratives from female staff </w:t>
            </w:r>
            <w:proofErr w:type="gramStart"/>
            <w:r w:rsidRPr="00AA7C5B">
              <w:rPr>
                <w:color w:val="00B0F0"/>
              </w:rPr>
              <w:t>in regards to</w:t>
            </w:r>
            <w:proofErr w:type="gramEnd"/>
            <w:r w:rsidRPr="00AA7C5B">
              <w:rPr>
                <w:color w:val="00B0F0"/>
              </w:rPr>
              <w:t xml:space="preserve"> the impact of COVID.</w:t>
            </w:r>
            <w:r w:rsidR="00AB2490" w:rsidRPr="00AA7C5B">
              <w:rPr>
                <w:color w:val="00B0F0"/>
              </w:rPr>
              <w:t xml:space="preserve"> We also discussed doing a survey to the Senate on Large, the grant would give us the opportunity to hire someone to write the survey report since due to faculty’s numerous responsibilities it would be challenging for someone in the committee having the time to write the report. President has discretion on how monies will be utilized. Latoya’s suggestion was developing gender-neutral syllabi. </w:t>
            </w:r>
            <w:r w:rsidR="00AC7839">
              <w:rPr>
                <w:color w:val="00B0F0"/>
              </w:rPr>
              <w:t>Nancy reviewed the charge of the AADI committee.</w:t>
            </w:r>
          </w:p>
          <w:p w14:paraId="171C3E1F" w14:textId="77777777" w:rsidR="00C76E37" w:rsidRDefault="00C76E37"/>
          <w:p w14:paraId="6618B196" w14:textId="27F92D01" w:rsidR="00670333" w:rsidRDefault="00A1194D">
            <w:r>
              <w:t xml:space="preserve"> </w:t>
            </w:r>
          </w:p>
        </w:tc>
        <w:tc>
          <w:tcPr>
            <w:tcW w:w="3117" w:type="dxa"/>
          </w:tcPr>
          <w:p w14:paraId="3479316B" w14:textId="77777777" w:rsidR="00921183" w:rsidRDefault="00C76E37" w:rsidP="005638D3">
            <w:r>
              <w:t xml:space="preserve"> </w:t>
            </w:r>
          </w:p>
          <w:p w14:paraId="62C4E10B" w14:textId="19C4F272" w:rsidR="00AB2490" w:rsidRPr="00AB2490" w:rsidRDefault="00AB2490" w:rsidP="00AB2490">
            <w:r w:rsidRPr="00AA7C5B">
              <w:rPr>
                <w:color w:val="00B0F0"/>
              </w:rPr>
              <w:t xml:space="preserve">Hector suggested that the Senate &amp; our </w:t>
            </w:r>
            <w:proofErr w:type="gramStart"/>
            <w:r w:rsidRPr="00AA7C5B">
              <w:rPr>
                <w:color w:val="00B0F0"/>
              </w:rPr>
              <w:t>Committee</w:t>
            </w:r>
            <w:proofErr w:type="gramEnd"/>
            <w:r w:rsidRPr="00AA7C5B">
              <w:rPr>
                <w:color w:val="00B0F0"/>
              </w:rPr>
              <w:t xml:space="preserve"> could apply concurrently to be able to execute updating the syllabi. </w:t>
            </w:r>
            <w:proofErr w:type="spellStart"/>
            <w:r w:rsidR="00672C04">
              <w:t>Elys</w:t>
            </w:r>
            <w:proofErr w:type="spellEnd"/>
            <w:r w:rsidRPr="00AA7C5B">
              <w:rPr>
                <w:color w:val="00B0F0"/>
              </w:rPr>
              <w:t xml:space="preserve"> suggested that </w:t>
            </w:r>
            <w:proofErr w:type="gramStart"/>
            <w:r w:rsidRPr="00AA7C5B">
              <w:rPr>
                <w:color w:val="00B0F0"/>
              </w:rPr>
              <w:t>as long as</w:t>
            </w:r>
            <w:proofErr w:type="gramEnd"/>
            <w:r w:rsidRPr="00AA7C5B">
              <w:rPr>
                <w:color w:val="00B0F0"/>
              </w:rPr>
              <w:t xml:space="preserve"> survey was going to be used for programmatic use then no RBI will be required. </w:t>
            </w:r>
            <w:r w:rsidR="00F10DBC" w:rsidRPr="00AA7C5B">
              <w:rPr>
                <w:color w:val="00B0F0"/>
              </w:rPr>
              <w:t>Stacy who had previously applied for this grant gave an overview of what the application asked for. However, since the objectives might have changed</w:t>
            </w:r>
            <w:r w:rsidR="00AC7839">
              <w:rPr>
                <w:color w:val="00B0F0"/>
              </w:rPr>
              <w:t xml:space="preserve"> since the previous application criteria.</w:t>
            </w:r>
            <w:r w:rsidR="00F10DBC" w:rsidRPr="00AA7C5B">
              <w:rPr>
                <w:color w:val="00B0F0"/>
              </w:rPr>
              <w:t xml:space="preserve"> </w:t>
            </w:r>
          </w:p>
        </w:tc>
      </w:tr>
      <w:tr w:rsidR="00921183" w14:paraId="283BACD8" w14:textId="77777777">
        <w:trPr>
          <w:trHeight w:val="46"/>
        </w:trPr>
        <w:tc>
          <w:tcPr>
            <w:tcW w:w="3116" w:type="dxa"/>
          </w:tcPr>
          <w:p w14:paraId="5DF698A7" w14:textId="77777777" w:rsidR="00921183" w:rsidRDefault="00921183"/>
          <w:p w14:paraId="584B1BA7" w14:textId="77777777" w:rsidR="00921183" w:rsidRDefault="00B536F9">
            <w:r>
              <w:t>Old Business</w:t>
            </w:r>
          </w:p>
        </w:tc>
        <w:tc>
          <w:tcPr>
            <w:tcW w:w="3117" w:type="dxa"/>
          </w:tcPr>
          <w:p w14:paraId="0422F455" w14:textId="7FA79B4F" w:rsidR="00921183" w:rsidRDefault="00AC7839" w:rsidP="00C76E37">
            <w:r>
              <w:t xml:space="preserve">The committee went over the previous discussion </w:t>
            </w:r>
            <w:proofErr w:type="gramStart"/>
            <w:r>
              <w:t>in regards to</w:t>
            </w:r>
            <w:proofErr w:type="gramEnd"/>
            <w:r>
              <w:t xml:space="preserve"> applying for funding. Hector discussed our committee recommending the suggestion of </w:t>
            </w:r>
            <w:proofErr w:type="gramStart"/>
            <w:r>
              <w:t>gender neutral</w:t>
            </w:r>
            <w:proofErr w:type="gramEnd"/>
            <w:r>
              <w:t xml:space="preserve"> language on the syllabi. As it </w:t>
            </w:r>
            <w:r>
              <w:lastRenderedPageBreak/>
              <w:t xml:space="preserve">does align with policy of the </w:t>
            </w:r>
            <w:proofErr w:type="gramStart"/>
            <w:r>
              <w:t>organization as a whole</w:t>
            </w:r>
            <w:proofErr w:type="gramEnd"/>
            <w:r>
              <w:t>.</w:t>
            </w:r>
            <w:r w:rsidR="00C76E37">
              <w:t xml:space="preserve"> </w:t>
            </w:r>
          </w:p>
        </w:tc>
        <w:tc>
          <w:tcPr>
            <w:tcW w:w="3117" w:type="dxa"/>
          </w:tcPr>
          <w:p w14:paraId="5403936D" w14:textId="21824AAA" w:rsidR="00921183" w:rsidRDefault="006B5C6A">
            <w:r>
              <w:lastRenderedPageBreak/>
              <w:t xml:space="preserve">Latoya committed to writing recommendations for the language to </w:t>
            </w:r>
            <w:proofErr w:type="spellStart"/>
            <w:r>
              <w:t>used</w:t>
            </w:r>
            <w:proofErr w:type="spellEnd"/>
            <w:r>
              <w:t xml:space="preserve"> in the recommendation to present to the committee in the Fall. </w:t>
            </w:r>
          </w:p>
        </w:tc>
      </w:tr>
      <w:tr w:rsidR="00921183" w14:paraId="67BFC5EC" w14:textId="77777777">
        <w:trPr>
          <w:trHeight w:val="46"/>
        </w:trPr>
        <w:tc>
          <w:tcPr>
            <w:tcW w:w="3116" w:type="dxa"/>
          </w:tcPr>
          <w:p w14:paraId="146291B2" w14:textId="77777777" w:rsidR="00921183" w:rsidRDefault="00921183"/>
          <w:p w14:paraId="247C081F" w14:textId="77777777" w:rsidR="00921183" w:rsidRDefault="00B536F9">
            <w:r>
              <w:t>New Business</w:t>
            </w:r>
          </w:p>
        </w:tc>
        <w:tc>
          <w:tcPr>
            <w:tcW w:w="3117" w:type="dxa"/>
          </w:tcPr>
          <w:p w14:paraId="01FA8C12" w14:textId="77777777" w:rsidR="00921183" w:rsidRDefault="006B5C6A" w:rsidP="006B5C6A">
            <w:r>
              <w:t>Consideration to apply for the grant was discussed. Clarification of what we would use the award for. Stacy suggested compiling a list of what we want to do through the semester or year. Past deliverables discussed and the constraints of budget since in the past the maximum grant was $2,000</w:t>
            </w:r>
            <w:r w:rsidR="00494828">
              <w:t xml:space="preserve">. Many strategies and partnerships to execute one or many activities were discussed. </w:t>
            </w:r>
          </w:p>
          <w:p w14:paraId="33839B67" w14:textId="476C8BF4" w:rsidR="00CF2481" w:rsidRDefault="00CF2481" w:rsidP="006B5C6A">
            <w:r>
              <w:t xml:space="preserve">The COC informed us we have a member we were not aware she was part of our committee. Invite will be sent to her. </w:t>
            </w:r>
          </w:p>
        </w:tc>
        <w:tc>
          <w:tcPr>
            <w:tcW w:w="3117" w:type="dxa"/>
          </w:tcPr>
          <w:p w14:paraId="6FAE44A1" w14:textId="77777777" w:rsidR="000942BB" w:rsidRDefault="000942BB">
            <w:r>
              <w:t>Fall schedule discussed.</w:t>
            </w:r>
          </w:p>
          <w:p w14:paraId="0F543180" w14:textId="77777777" w:rsidR="000942BB" w:rsidRDefault="000942BB"/>
          <w:p w14:paraId="3E889E9B" w14:textId="0F8D72BB" w:rsidR="000942BB" w:rsidRDefault="000942BB">
            <w:r>
              <w:t xml:space="preserve">Tentative dates: </w:t>
            </w:r>
          </w:p>
          <w:p w14:paraId="3187D638" w14:textId="41FDBEAC" w:rsidR="000942BB" w:rsidRDefault="000942BB">
            <w:r>
              <w:t>September 9</w:t>
            </w:r>
          </w:p>
          <w:p w14:paraId="0D031CC3" w14:textId="77777777" w:rsidR="000942BB" w:rsidRDefault="000942BB">
            <w:r>
              <w:t>October 7</w:t>
            </w:r>
          </w:p>
          <w:p w14:paraId="669B1D4B" w14:textId="1953B106" w:rsidR="000942BB" w:rsidRDefault="000942BB">
            <w:r>
              <w:t>November 11</w:t>
            </w:r>
          </w:p>
        </w:tc>
      </w:tr>
      <w:tr w:rsidR="00921183" w14:paraId="04B931F5" w14:textId="77777777">
        <w:trPr>
          <w:trHeight w:val="46"/>
        </w:trPr>
        <w:tc>
          <w:tcPr>
            <w:tcW w:w="3116" w:type="dxa"/>
          </w:tcPr>
          <w:p w14:paraId="4318DC5B" w14:textId="77777777" w:rsidR="00921183" w:rsidRDefault="00921183"/>
          <w:p w14:paraId="2BCA5EEF" w14:textId="77777777" w:rsidR="00921183" w:rsidRDefault="00B536F9">
            <w:r>
              <w:t>Adjournment</w:t>
            </w:r>
          </w:p>
        </w:tc>
        <w:tc>
          <w:tcPr>
            <w:tcW w:w="3117" w:type="dxa"/>
          </w:tcPr>
          <w:p w14:paraId="1E37B401" w14:textId="77777777" w:rsidR="00921183" w:rsidRDefault="00B536F9">
            <w:r>
              <w:t>Motion to Adjourn.</w:t>
            </w:r>
          </w:p>
          <w:p w14:paraId="5A014D20" w14:textId="77777777" w:rsidR="00921183" w:rsidRDefault="00921183"/>
          <w:p w14:paraId="7EF89864" w14:textId="77777777" w:rsidR="00921183" w:rsidRDefault="00B536F9">
            <w:r>
              <w:t xml:space="preserve">Adjournment motion seconded. </w:t>
            </w:r>
          </w:p>
        </w:tc>
        <w:tc>
          <w:tcPr>
            <w:tcW w:w="3117" w:type="dxa"/>
          </w:tcPr>
          <w:p w14:paraId="3D88523D" w14:textId="77777777" w:rsidR="00921183" w:rsidRDefault="00B536F9">
            <w:r>
              <w:t>Motion passed unanimously.</w:t>
            </w:r>
          </w:p>
          <w:p w14:paraId="31C7CB5F" w14:textId="77777777" w:rsidR="00921183" w:rsidRDefault="00921183"/>
          <w:p w14:paraId="58D1D3DA" w14:textId="77D2E2AF" w:rsidR="00921183" w:rsidRDefault="00B536F9">
            <w:r>
              <w:t>Meeting adjourned at 4:</w:t>
            </w:r>
            <w:r w:rsidR="00CF2481">
              <w:t>2</w:t>
            </w:r>
            <w:r w:rsidR="006B5C6A">
              <w:t>7</w:t>
            </w:r>
            <w:r w:rsidR="00140833">
              <w:t>P</w:t>
            </w:r>
            <w:r>
              <w:t>M.</w:t>
            </w:r>
          </w:p>
        </w:tc>
      </w:tr>
    </w:tbl>
    <w:p w14:paraId="4FBE3CB9" w14:textId="77777777" w:rsidR="00921183" w:rsidRDefault="00921183"/>
    <w:sectPr w:rsidR="0092118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317D" w14:textId="77777777" w:rsidR="00DA198C" w:rsidRDefault="00DA198C">
      <w:r>
        <w:separator/>
      </w:r>
    </w:p>
  </w:endnote>
  <w:endnote w:type="continuationSeparator" w:id="0">
    <w:p w14:paraId="38F02857" w14:textId="77777777" w:rsidR="00DA198C" w:rsidRDefault="00DA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72462"/>
      <w:docPartObj>
        <w:docPartGallery w:val="AutoText"/>
      </w:docPartObj>
    </w:sdtPr>
    <w:sdtEndPr>
      <w:rPr>
        <w:b/>
      </w:rPr>
    </w:sdtEndPr>
    <w:sdtContent>
      <w:p w14:paraId="32BD7ED6" w14:textId="409CE5EE" w:rsidR="001A45DA" w:rsidRDefault="00B536F9">
        <w:pPr>
          <w:pStyle w:val="Footer"/>
          <w:tabs>
            <w:tab w:val="left" w:pos="8403"/>
          </w:tabs>
        </w:pPr>
        <w:r>
          <w:tab/>
          <w:t xml:space="preserve">                                                                                Minutes of Friday, </w:t>
        </w:r>
        <w:r w:rsidR="008417C9">
          <w:t>May 13</w:t>
        </w:r>
        <w:r w:rsidR="001A45DA">
          <w:t>, 2022</w:t>
        </w:r>
      </w:p>
      <w:p w14:paraId="5C3708A8" w14:textId="0872AF58" w:rsidR="00921183" w:rsidRDefault="00B536F9">
        <w:pPr>
          <w:pStyle w:val="Footer"/>
          <w:tabs>
            <w:tab w:val="left" w:pos="8403"/>
          </w:tabs>
          <w:rPr>
            <w:b/>
          </w:rPr>
        </w:pPr>
        <w:r>
          <w:t xml:space="preserve">     </w:t>
        </w:r>
        <w:r>
          <w:rPr>
            <w:b/>
          </w:rPr>
          <w:fldChar w:fldCharType="begin"/>
        </w:r>
        <w:r>
          <w:rPr>
            <w:b/>
          </w:rPr>
          <w:instrText xml:space="preserve"> PAGE   \* MERGEFORMAT </w:instrText>
        </w:r>
        <w:r>
          <w:rPr>
            <w:b/>
          </w:rPr>
          <w:fldChar w:fldCharType="separate"/>
        </w:r>
        <w:r>
          <w:rPr>
            <w:b/>
          </w:rPr>
          <w:t>4</w:t>
        </w:r>
        <w:r>
          <w:rPr>
            <w:b/>
          </w:rPr>
          <w:fldChar w:fldCharType="end"/>
        </w:r>
      </w:p>
    </w:sdtContent>
  </w:sdt>
  <w:p w14:paraId="4653FAB5" w14:textId="77777777" w:rsidR="00921183" w:rsidRDefault="00921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74D6" w14:textId="77777777" w:rsidR="00DA198C" w:rsidRDefault="00DA198C">
      <w:r>
        <w:separator/>
      </w:r>
    </w:p>
  </w:footnote>
  <w:footnote w:type="continuationSeparator" w:id="0">
    <w:p w14:paraId="664C8304" w14:textId="77777777" w:rsidR="00DA198C" w:rsidRDefault="00DA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648286617"/>
      <w:docPartObj>
        <w:docPartGallery w:val="AutoText"/>
      </w:docPartObj>
    </w:sdtPr>
    <w:sdtEndPr>
      <w:rPr>
        <w:b/>
        <w:bCs/>
        <w:color w:val="auto"/>
        <w:spacing w:val="0"/>
      </w:rPr>
    </w:sdtEndPr>
    <w:sdtContent>
      <w:p w14:paraId="01D94DBA" w14:textId="77777777" w:rsidR="00921183" w:rsidRDefault="00B536F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Pr>
            <w:b/>
            <w:bCs/>
          </w:rPr>
          <w:t>4</w:t>
        </w:r>
        <w:r>
          <w:rPr>
            <w:b/>
            <w:bCs/>
          </w:rPr>
          <w:fldChar w:fldCharType="end"/>
        </w:r>
      </w:p>
    </w:sdtContent>
  </w:sdt>
  <w:p w14:paraId="08877A5E" w14:textId="77777777" w:rsidR="00921183" w:rsidRDefault="00921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DA"/>
    <w:rsid w:val="00001153"/>
    <w:rsid w:val="00036D3D"/>
    <w:rsid w:val="00057F3F"/>
    <w:rsid w:val="000942BB"/>
    <w:rsid w:val="000C200D"/>
    <w:rsid w:val="000E5D38"/>
    <w:rsid w:val="00124D7E"/>
    <w:rsid w:val="00130DBE"/>
    <w:rsid w:val="00130E59"/>
    <w:rsid w:val="00140833"/>
    <w:rsid w:val="001413C6"/>
    <w:rsid w:val="001952D4"/>
    <w:rsid w:val="001A39AF"/>
    <w:rsid w:val="001A45DA"/>
    <w:rsid w:val="001B0BF4"/>
    <w:rsid w:val="001B7817"/>
    <w:rsid w:val="0021225A"/>
    <w:rsid w:val="00212CC9"/>
    <w:rsid w:val="0021668B"/>
    <w:rsid w:val="0021729E"/>
    <w:rsid w:val="002237BD"/>
    <w:rsid w:val="00230605"/>
    <w:rsid w:val="00231BB3"/>
    <w:rsid w:val="00246ED2"/>
    <w:rsid w:val="00256F7F"/>
    <w:rsid w:val="002570C2"/>
    <w:rsid w:val="00257D14"/>
    <w:rsid w:val="002704E5"/>
    <w:rsid w:val="00273FF9"/>
    <w:rsid w:val="002C394B"/>
    <w:rsid w:val="002F7818"/>
    <w:rsid w:val="0033065D"/>
    <w:rsid w:val="0033244E"/>
    <w:rsid w:val="00341129"/>
    <w:rsid w:val="00357449"/>
    <w:rsid w:val="003639B1"/>
    <w:rsid w:val="003A5451"/>
    <w:rsid w:val="003C3106"/>
    <w:rsid w:val="003E357B"/>
    <w:rsid w:val="00444B9F"/>
    <w:rsid w:val="00444C85"/>
    <w:rsid w:val="004652A3"/>
    <w:rsid w:val="00472049"/>
    <w:rsid w:val="00475372"/>
    <w:rsid w:val="004929DA"/>
    <w:rsid w:val="00494828"/>
    <w:rsid w:val="004A4665"/>
    <w:rsid w:val="004A68B3"/>
    <w:rsid w:val="004A6EFB"/>
    <w:rsid w:val="004A791F"/>
    <w:rsid w:val="004C78B9"/>
    <w:rsid w:val="004D6C5F"/>
    <w:rsid w:val="004F0B84"/>
    <w:rsid w:val="004F2F22"/>
    <w:rsid w:val="005036B7"/>
    <w:rsid w:val="005048E0"/>
    <w:rsid w:val="005626CE"/>
    <w:rsid w:val="005638D3"/>
    <w:rsid w:val="0057314E"/>
    <w:rsid w:val="005A0E62"/>
    <w:rsid w:val="005C68DB"/>
    <w:rsid w:val="005D4C0A"/>
    <w:rsid w:val="005E5292"/>
    <w:rsid w:val="005F1F06"/>
    <w:rsid w:val="006064D1"/>
    <w:rsid w:val="00622DF6"/>
    <w:rsid w:val="0066528C"/>
    <w:rsid w:val="00670333"/>
    <w:rsid w:val="00672C04"/>
    <w:rsid w:val="00677F5A"/>
    <w:rsid w:val="00697281"/>
    <w:rsid w:val="006A0EAE"/>
    <w:rsid w:val="006A1840"/>
    <w:rsid w:val="006A3C20"/>
    <w:rsid w:val="006A4C87"/>
    <w:rsid w:val="006A64C6"/>
    <w:rsid w:val="006B3A17"/>
    <w:rsid w:val="006B5C6A"/>
    <w:rsid w:val="006C1B82"/>
    <w:rsid w:val="006E3F9C"/>
    <w:rsid w:val="006F65BE"/>
    <w:rsid w:val="007231BA"/>
    <w:rsid w:val="00736A54"/>
    <w:rsid w:val="00736CCC"/>
    <w:rsid w:val="00764363"/>
    <w:rsid w:val="0077037C"/>
    <w:rsid w:val="00787447"/>
    <w:rsid w:val="007922FF"/>
    <w:rsid w:val="00794920"/>
    <w:rsid w:val="007968CB"/>
    <w:rsid w:val="007A5DED"/>
    <w:rsid w:val="007B7960"/>
    <w:rsid w:val="007C53EF"/>
    <w:rsid w:val="007E1552"/>
    <w:rsid w:val="007F789D"/>
    <w:rsid w:val="008036BB"/>
    <w:rsid w:val="00812CF8"/>
    <w:rsid w:val="008417C9"/>
    <w:rsid w:val="00844A34"/>
    <w:rsid w:val="008525D1"/>
    <w:rsid w:val="0087175C"/>
    <w:rsid w:val="00885015"/>
    <w:rsid w:val="00890E6C"/>
    <w:rsid w:val="00897CC0"/>
    <w:rsid w:val="008B4CA5"/>
    <w:rsid w:val="00905B86"/>
    <w:rsid w:val="00920B23"/>
    <w:rsid w:val="00921183"/>
    <w:rsid w:val="009334F6"/>
    <w:rsid w:val="00951436"/>
    <w:rsid w:val="00955EB4"/>
    <w:rsid w:val="009C7065"/>
    <w:rsid w:val="009D7FA8"/>
    <w:rsid w:val="009E059B"/>
    <w:rsid w:val="009E4BB6"/>
    <w:rsid w:val="009E712B"/>
    <w:rsid w:val="009F07DF"/>
    <w:rsid w:val="009F3759"/>
    <w:rsid w:val="009F5775"/>
    <w:rsid w:val="00A10915"/>
    <w:rsid w:val="00A1194D"/>
    <w:rsid w:val="00A353DF"/>
    <w:rsid w:val="00A81822"/>
    <w:rsid w:val="00A91F38"/>
    <w:rsid w:val="00AA7C5B"/>
    <w:rsid w:val="00AB2490"/>
    <w:rsid w:val="00AB6F35"/>
    <w:rsid w:val="00AB7CBF"/>
    <w:rsid w:val="00AC6D9E"/>
    <w:rsid w:val="00AC76D5"/>
    <w:rsid w:val="00AC7839"/>
    <w:rsid w:val="00AD3BCA"/>
    <w:rsid w:val="00AD4421"/>
    <w:rsid w:val="00AD6E4E"/>
    <w:rsid w:val="00AE55FB"/>
    <w:rsid w:val="00B05CF0"/>
    <w:rsid w:val="00B52B52"/>
    <w:rsid w:val="00B536F9"/>
    <w:rsid w:val="00B72747"/>
    <w:rsid w:val="00B86BB7"/>
    <w:rsid w:val="00BE38F8"/>
    <w:rsid w:val="00BE781D"/>
    <w:rsid w:val="00C02332"/>
    <w:rsid w:val="00C06551"/>
    <w:rsid w:val="00C1038B"/>
    <w:rsid w:val="00C231D4"/>
    <w:rsid w:val="00C6427E"/>
    <w:rsid w:val="00C76E37"/>
    <w:rsid w:val="00CF2481"/>
    <w:rsid w:val="00CF380A"/>
    <w:rsid w:val="00D00F7F"/>
    <w:rsid w:val="00D25014"/>
    <w:rsid w:val="00DA0AF5"/>
    <w:rsid w:val="00DA198C"/>
    <w:rsid w:val="00DA70BB"/>
    <w:rsid w:val="00DB6AC5"/>
    <w:rsid w:val="00E0527F"/>
    <w:rsid w:val="00E0710B"/>
    <w:rsid w:val="00E44601"/>
    <w:rsid w:val="00E44F89"/>
    <w:rsid w:val="00E55C0B"/>
    <w:rsid w:val="00E70C08"/>
    <w:rsid w:val="00E75C64"/>
    <w:rsid w:val="00E76772"/>
    <w:rsid w:val="00EB2072"/>
    <w:rsid w:val="00EC4C33"/>
    <w:rsid w:val="00ED7572"/>
    <w:rsid w:val="00EF10F6"/>
    <w:rsid w:val="00F10DBC"/>
    <w:rsid w:val="00F148C5"/>
    <w:rsid w:val="00F171D5"/>
    <w:rsid w:val="00F25BD0"/>
    <w:rsid w:val="00F25C21"/>
    <w:rsid w:val="00F402AA"/>
    <w:rsid w:val="00FB12CB"/>
    <w:rsid w:val="00FC165D"/>
    <w:rsid w:val="00FC5C37"/>
    <w:rsid w:val="00FD1F03"/>
    <w:rsid w:val="00FF2750"/>
    <w:rsid w:val="4A9526CC"/>
    <w:rsid w:val="501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FABB"/>
  <w15:docId w15:val="{37E4BD60-2540-4C92-90F7-5DF1F703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eastAsia="Times New Roman" w:cs="Times New Roman"/>
      <w:szCs w:val="24"/>
    </w:rPr>
  </w:style>
  <w:style w:type="character" w:customStyle="1" w:styleId="FooterChar">
    <w:name w:val="Footer Char"/>
    <w:basedOn w:val="DefaultParagraphFont"/>
    <w:link w:val="Footer"/>
    <w:uiPriority w:val="99"/>
    <w:rPr>
      <w:rFonts w:eastAsia="Times New Roman" w:cs="Times New Roman"/>
      <w:szCs w:val="24"/>
    </w:rPr>
  </w:style>
  <w:style w:type="paragraph" w:styleId="NoSpacing">
    <w:name w:val="No Spacing"/>
    <w:uiPriority w:val="1"/>
    <w:qFormat/>
    <w:rPr>
      <w:rFonts w:eastAsia="Times New Roman"/>
      <w:sz w:val="24"/>
      <w:szCs w:val="24"/>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ostos.cuny.edu/ooa/images/logotype_cuny_blue_small.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un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65330D-CB5E-4777-A0F0-69A36E8E97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Nancy Genova</cp:lastModifiedBy>
  <cp:revision>5</cp:revision>
  <cp:lastPrinted>2017-12-19T20:53:00Z</cp:lastPrinted>
  <dcterms:created xsi:type="dcterms:W3CDTF">2022-10-05T15:43:00Z</dcterms:created>
  <dcterms:modified xsi:type="dcterms:W3CDTF">2022-10-16T14:59:00Z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